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40"/>
        <w:jc w:val="center"/>
      </w:pPr>
      <w:r>
        <w:rPr>
          <w:b/>
          <w:color w:val="1F4E79"/>
          <w:sz w:val="24"/>
        </w:rPr>
        <w:t>HSP AUTHOR STUDIO</w:t>
      </w:r>
    </w:p>
    <w:p>
      <w:pPr>
        <w:jc w:val="center"/>
      </w:pPr>
      <w:r>
        <w:rPr>
          <w:b/>
          <w:color w:val="17365D"/>
          <w:sz w:val="56"/>
        </w:rPr>
        <w:t>Data Processing Agreement</w:t>
      </w:r>
    </w:p>
    <w:p>
      <w:pPr>
        <w:jc w:val="center"/>
      </w:pPr>
      <w:r>
        <w:rPr>
          <w:color w:val="5A5A5A"/>
          <w:sz w:val="28"/>
        </w:rPr>
        <w:t>under Article 28 GDPR</w:t>
      </w:r>
    </w:p>
    <w:p>
      <w:pPr>
        <w:spacing w:before="360"/>
        <w:jc w:val="center"/>
      </w:pPr>
      <w:r>
        <w:rPr>
          <w:color w:val="646464"/>
          <w:sz w:val="20"/>
        </w:rPr>
        <w:t>Version 1.0 · 2 October 2026</w:t>
      </w:r>
    </w:p>
    <w:tbl>
      <w:tblPr>
        <w:tblW w:type="auto" w:w="0"/>
        <w:tblLook w:firstColumn="1" w:firstRow="1" w:lastColumn="0" w:lastRow="0" w:noHBand="0" w:noVBand="1" w:val="04A0"/>
      </w:tblPr>
      <w:tblGrid>
        <w:gridCol w:w="10256"/>
      </w:tblGrid>
      <w:tr>
        <w:trPr>
          <w:cantSplit/>
        </w:trPr>
        <w:tc>
          <w:tcPr>
            <w:tcW w:type="dxa" w:w="10256"/>
            <w:shd w:fill="E2F0D9"/>
            <w:tcMar>
              <w:top w:w="130" w:type="dxa"/>
              <w:start w:w="150" w:type="dxa"/>
              <w:bottom w:w="130" w:type="dxa"/>
              <w:end w:w="150" w:type="dxa"/>
            </w:tcMar>
          </w:tcPr>
          <w:p>
            <w:r>
              <w:rPr>
                <w:b/>
                <w:color w:val="503C00"/>
                <w:sz w:val="20"/>
              </w:rPr>
              <w:t>Document purpose</w:t>
              <w:br/>
            </w:r>
            <w:r>
              <w:rPr>
                <w:sz w:val="18"/>
              </w:rPr>
              <w:t>Contract template for business customers using HSP Author Studio as processor for personal data contained in customer content. This English version is a convenience translation of the German agreement. Before production use, the concrete contractual and provider setup should be reviewed by an Austrian data-protection/legal professional.</w:t>
            </w:r>
          </w:p>
        </w:tc>
      </w:tr>
    </w:tbl>
    <w:p>
      <w:pPr>
        <w:spacing w:after="20"/>
      </w:pPr>
    </w:p>
    <w:p>
      <w:r>
        <w:br w:type="page"/>
      </w:r>
    </w:p>
    <w:p>
      <w:pPr>
        <w:pStyle w:val="Heading1"/>
      </w:pPr>
      <w:r>
        <w:t>Parties</w:t>
      </w:r>
    </w:p>
    <w:tbl>
      <w:tblPr>
        <w:tblW w:type="auto" w:w="0"/>
        <w:jc w:val="center"/>
        <w:tblLayout w:type="fixed"/>
        <w:tblLook w:firstColumn="1" w:firstRow="1" w:lastColumn="0" w:lastRow="0" w:noHBand="0" w:noVBand="1" w:val="04A0"/>
      </w:tblPr>
      <w:tblGrid>
        <w:gridCol w:w="5128"/>
        <w:gridCol w:w="5128"/>
      </w:tblGrid>
      <w:tr>
        <w:trPr>
          <w:cantSplit/>
        </w:trPr>
        <w:tc>
          <w:tcPr>
            <w:tcW w:type="dxa" w:w="2551"/>
            <w:shd w:fill="EAF0F6"/>
            <w:tcMar>
              <w:top w:w="80" w:type="dxa"/>
              <w:start w:w="90" w:type="dxa"/>
              <w:bottom w:w="80" w:type="dxa"/>
              <w:end w:w="90" w:type="dxa"/>
            </w:tcMar>
            <w:vAlign w:val="top"/>
          </w:tcPr>
          <w:p>
            <w:r>
              <w:rPr>
                <w:b/>
                <w:color w:val="1F4E79"/>
                <w:sz w:val="18"/>
              </w:rPr>
              <w:t>Controller / Customer</w:t>
            </w:r>
          </w:p>
        </w:tc>
        <w:tc>
          <w:tcPr>
            <w:tcW w:type="dxa" w:w="6463"/>
            <w:tcMar>
              <w:top w:w="80" w:type="dxa"/>
              <w:start w:w="90" w:type="dxa"/>
              <w:bottom w:w="80" w:type="dxa"/>
              <w:end w:w="90" w:type="dxa"/>
            </w:tcMar>
            <w:vAlign w:val="top"/>
          </w:tcPr>
          <w:p>
            <w:r>
              <w:rPr>
                <w:sz w:val="18"/>
              </w:rPr>
              <w:t>[Company / Name]</w:t>
              <w:br/>
              <w:t>[Address]</w:t>
              <w:br/>
              <w:t>[Email]</w:t>
              <w:br/>
              <w:t>– “Customer” –</w:t>
            </w:r>
          </w:p>
        </w:tc>
      </w:tr>
      <w:tr>
        <w:trPr>
          <w:cantSplit/>
        </w:trPr>
        <w:tc>
          <w:tcPr>
            <w:tcW w:type="dxa" w:w="2551"/>
            <w:shd w:fill="EAF0F6"/>
            <w:tcMar>
              <w:top w:w="80" w:type="dxa"/>
              <w:start w:w="90" w:type="dxa"/>
              <w:bottom w:w="80" w:type="dxa"/>
              <w:end w:w="90" w:type="dxa"/>
            </w:tcMar>
            <w:vAlign w:val="top"/>
          </w:tcPr>
          <w:p>
            <w:r>
              <w:rPr>
                <w:b/>
                <w:color w:val="1F4E79"/>
                <w:sz w:val="18"/>
              </w:rPr>
              <w:t>Processor</w:t>
            </w:r>
          </w:p>
        </w:tc>
        <w:tc>
          <w:tcPr>
            <w:tcW w:type="dxa" w:w="6463"/>
            <w:tcMar>
              <w:top w:w="80" w:type="dxa"/>
              <w:start w:w="90" w:type="dxa"/>
              <w:bottom w:w="80" w:type="dxa"/>
              <w:end w:w="90" w:type="dxa"/>
            </w:tcMar>
            <w:vAlign w:val="top"/>
          </w:tcPr>
          <w:p>
            <w:r>
              <w:rPr>
                <w:sz w:val="18"/>
              </w:rPr>
              <w:t>HSP Content Production</w:t>
              <w:br/>
              <w:t>Owner: Heinz Siegfried Pestner</w:t>
              <w:br/>
              <w:t>8181 Dörfl an der Raab 101, Austria</w:t>
              <w:br/>
              <w:t>Email: iac@gmx.at</w:t>
              <w:br/>
              <w:t>– “HSP” –</w:t>
            </w:r>
          </w:p>
        </w:tc>
      </w:tr>
      <w:tr>
        <w:trPr>
          <w:cantSplit/>
        </w:trPr>
        <w:tc>
          <w:tcPr>
            <w:tcW w:type="dxa" w:w="2551"/>
            <w:shd w:fill="EAF0F6"/>
            <w:tcMar>
              <w:top w:w="80" w:type="dxa"/>
              <w:start w:w="90" w:type="dxa"/>
              <w:bottom w:w="80" w:type="dxa"/>
              <w:end w:w="90" w:type="dxa"/>
            </w:tcMar>
            <w:vAlign w:val="top"/>
          </w:tcPr>
          <w:p>
            <w:r>
              <w:rPr>
                <w:b/>
                <w:color w:val="1F4E79"/>
                <w:sz w:val="18"/>
              </w:rPr>
              <w:t>Main Agreement</w:t>
            </w:r>
          </w:p>
        </w:tc>
        <w:tc>
          <w:tcPr>
            <w:tcW w:type="dxa" w:w="6463"/>
            <w:tcMar>
              <w:top w:w="80" w:type="dxa"/>
              <w:start w:w="90" w:type="dxa"/>
              <w:bottom w:w="80" w:type="dxa"/>
              <w:end w:w="90" w:type="dxa"/>
            </w:tcMar>
            <w:vAlign w:val="top"/>
          </w:tcPr>
          <w:p>
            <w:r>
              <w:rPr>
                <w:sz w:val="18"/>
              </w:rPr>
              <w:t>HSP Author Studio subscription/terms or separate order.</w:t>
            </w:r>
          </w:p>
        </w:tc>
      </w:tr>
      <w:tr>
        <w:trPr>
          <w:cantSplit/>
        </w:trPr>
        <w:tc>
          <w:tcPr>
            <w:tcW w:type="dxa" w:w="2551"/>
            <w:shd w:fill="EAF0F6"/>
            <w:tcMar>
              <w:top w:w="80" w:type="dxa"/>
              <w:start w:w="90" w:type="dxa"/>
              <w:bottom w:w="80" w:type="dxa"/>
              <w:end w:w="90" w:type="dxa"/>
            </w:tcMar>
            <w:vAlign w:val="top"/>
          </w:tcPr>
          <w:p>
            <w:r>
              <w:rPr>
                <w:b/>
                <w:color w:val="1F4E79"/>
                <w:sz w:val="18"/>
              </w:rPr>
              <w:t>DPA version</w:t>
            </w:r>
          </w:p>
        </w:tc>
        <w:tc>
          <w:tcPr>
            <w:tcW w:type="dxa" w:w="6463"/>
            <w:tcMar>
              <w:top w:w="80" w:type="dxa"/>
              <w:start w:w="90" w:type="dxa"/>
              <w:bottom w:w="80" w:type="dxa"/>
              <w:end w:w="90" w:type="dxa"/>
            </w:tcMar>
            <w:vAlign w:val="top"/>
          </w:tcPr>
          <w:p>
            <w:r>
              <w:rPr>
                <w:sz w:val="18"/>
              </w:rPr>
              <w:t>1.0 · 2 October 2026</w:t>
            </w:r>
          </w:p>
        </w:tc>
      </w:tr>
    </w:tbl>
    <w:p>
      <w:pPr>
        <w:pStyle w:val="Heading1"/>
      </w:pPr>
      <w:r>
        <w:t>1. Subject matter, scope and precedence</w:t>
      </w:r>
    </w:p>
    <w:p>
      <w:r>
        <w:t>This DPA governs HSP's processing of personal data on behalf of Customer under Article 28 GDPR where Customer acts as controller and uses HSP Author Studio to process personal data contained in Customer Content.</w:t>
      </w:r>
    </w:p>
    <w:p>
      <w:r>
        <w:t>This DPA applies only to Customer Content processing. HSP generally acts as independent controller for account administration, contracting/billing, credits, fraud/abuse prevention, IT security, HSP compliance and evidence obligations; these activities are described in the Privacy Notice.</w:t>
      </w:r>
    </w:p>
    <w:p>
      <w:r>
        <w:t>Mandatory data-protection law prevails. For processor matters this DPA prevails over conflicting provisions of the Main Agreement; otherwise the Main Agreement remains unchanged.</w:t>
      </w:r>
    </w:p>
    <w:p>
      <w:pPr>
        <w:pStyle w:val="Heading1"/>
      </w:pPr>
      <w:r>
        <w:t>2. Instructions and purpose limitation</w:t>
      </w:r>
    </w:p>
    <w:p>
      <w:r>
        <w:t>HSP processes Processor Data only on documented instructions from Customer. Tool selections, uploads, settings, deletion actions and other in-product actions, plus written support/administrative instructions, constitute documented instructions.</w:t>
      </w:r>
    </w:p>
    <w:p>
      <w:r>
        <w:t>HSP does not use Processor Data for HSP advertising, profiling or model-training purposes. If a third party processes data outside the instruction chain as an independent controller, that processing is not treated as processing under this DPA and may only be used for Processor Data where an appropriate role/legal basis exists.</w:t>
      </w:r>
    </w:p>
    <w:p>
      <w:r>
        <w:t>If HSP believes an instruction infringes data-protection law, HSP will inform Customer without undue delay and may suspend the instruction pending clarification.</w:t>
      </w:r>
    </w:p>
    <w:p>
      <w:pPr>
        <w:pStyle w:val="Heading1"/>
      </w:pPr>
      <w:r>
        <w:t>3. Confidentiality</w:t>
      </w:r>
    </w:p>
    <w:p>
      <w:r>
        <w:t>HSP ensures that persons authorised to process Processor Data are bound by confidentiality or an appropriate statutory duty and receive access only as required.</w:t>
      </w:r>
    </w:p>
    <w:p>
      <w:pPr>
        <w:pStyle w:val="Heading1"/>
      </w:pPr>
      <w:r>
        <w:t>4. Security</w:t>
      </w:r>
    </w:p>
    <w:p>
      <w:r>
        <w:t>HSP implements appropriate technical and organisational measures under Article 32 GDPR. Current committed measures are described in Annex 2. HSP may evolve measures provided the overall agreed level of protection is not materially reduced.</w:t>
      </w:r>
    </w:p>
    <w:p>
      <w:pPr>
        <w:pStyle w:val="Heading1"/>
      </w:pPr>
      <w:r>
        <w:t>5. Sub-processors</w:t>
      </w:r>
    </w:p>
    <w:p>
      <w:r>
        <w:t>Customer grants HSP general authorisation to engage the sub-processors listed in Annex 3.</w:t>
      </w:r>
    </w:p>
    <w:p>
      <w:r>
        <w:t>HSP will normally communicate material new sub-processors through the public DPA/sub-processor page and, where reasonably appropriate, additional electronic notice. Customer may object within 14 days on reasonable data-protection grounds.</w:t>
      </w:r>
    </w:p>
    <w:p>
      <w:r>
        <w:t>HSP imposes materially equivalent Article 28 obligations on sub-processors where applicable and remains responsible to Customer for their performance under Article 28(4) GDPR.</w:t>
      </w:r>
    </w:p>
    <w:p>
      <w:pPr>
        <w:pStyle w:val="Heading1"/>
      </w:pPr>
      <w:r>
        <w:t>6. International transfers</w:t>
      </w:r>
    </w:p>
    <w:p>
      <w:r>
        <w:t>Where Processor Data is transferred to a third country, HSP will ensure Chapter V GDPR requirements are met, including adequacy decisions or appropriate safeguards such as Standard Contractual Clauses. Processor-to-subprocessor transfers outside the EEA use the applicable SCC module and supplementary measures where required.</w:t>
      </w:r>
    </w:p>
    <w:p>
      <w:pPr>
        <w:pStyle w:val="Heading1"/>
      </w:pPr>
      <w:r>
        <w:t>7. Data-subject requests</w:t>
      </w:r>
    </w:p>
    <w:p>
      <w:r>
        <w:t>Taking into account the nature of processing, HSP will assist Customer through appropriate technical and organisational measures to respond to Chapter III GDPR requests. Requests received directly by HSP relating to Processor Data will generally be forwarded to Customer unless HSP is legally required to act directly.</w:t>
      </w:r>
    </w:p>
    <w:p>
      <w:pPr>
        <w:pStyle w:val="Heading1"/>
      </w:pPr>
      <w:r>
        <w:t>8. Personal data breaches</w:t>
      </w:r>
    </w:p>
    <w:p>
      <w:r>
        <w:t>HSP will notify Customer without undue delay after becoming aware of a personal data breach affecting Processor Data. To the extent available, the notice will describe the nature and scope of the incident, affected categories, likely consequences, measures taken/proposed and a contact point. HSP will reasonably assist Customer with Articles 33 and 34 GDPR obligations.</w:t>
      </w:r>
    </w:p>
    <w:p>
      <w:pPr>
        <w:pStyle w:val="Heading1"/>
      </w:pPr>
      <w:r>
        <w:t>9. DPIA and consultation</w:t>
      </w:r>
    </w:p>
    <w:p>
      <w:r>
        <w:t>Taking into account the nature of processing and information available to HSP, HSP will reasonably assist Customer with data-protection impact assessments and any required prior consultation with a supervisory authority.</w:t>
      </w:r>
    </w:p>
    <w:p>
      <w:pPr>
        <w:pStyle w:val="Heading1"/>
      </w:pPr>
      <w:r>
        <w:t>10. Compliance information and audits</w:t>
      </w:r>
    </w:p>
    <w:p>
      <w:r>
        <w:t>HSP will make available information reasonably necessary to demonstrate compliance with Article 28 GDPR. Existing documentation, TOMs, provider DPAs, security/release reports or comparable evidence will be used first.</w:t>
      </w:r>
    </w:p>
    <w:p>
      <w:r>
        <w:t>Where this is insufficient, Customer may ordinarily request one reasonable audit per 12 months and additional audits following a substantiated security/compliance incident. Audits require reasonable notice, normal business hours and safeguards for other customers, confidentiality and service continuity.</w:t>
      </w:r>
    </w:p>
    <w:p>
      <w:r>
        <w:t>Disproportionate external audit costs are borne by Customer unless the audit identifies a material breach by HSP.</w:t>
      </w:r>
    </w:p>
    <w:p>
      <w:pPr>
        <w:pStyle w:val="Heading1"/>
      </w:pPr>
      <w:r>
        <w:t>11. Return and deletion</w:t>
      </w:r>
    </w:p>
    <w:p>
      <w:r>
        <w:t>Customer may retrieve Processor Data through available export/download features. After processing ends, HSP will delete remaining Processor Data on documented instruction unless Union/Member State law requires retention.</w:t>
      </w:r>
    </w:p>
    <w:p>
      <w:r>
        <w:t>Technical backups may remain until their ordinary overwrite/expiry cycle and must not be actively used for unrelated purposes during that period. Feature-specific rules are summarised in Annex 4 and the Privacy Notice.</w:t>
      </w:r>
    </w:p>
    <w:p>
      <w:pPr>
        <w:pStyle w:val="Heading1"/>
      </w:pPr>
      <w:r>
        <w:t>12. Customer obligations</w:t>
      </w:r>
    </w:p>
    <w:p>
      <w:r>
        <w:t>Customer is responsible for legality, transparency, data minimisation and necessary rights/consents for personal data placed into HSP Author Studio.</w:t>
      </w:r>
    </w:p>
    <w:p>
      <w:r>
        <w:t>Special-category data under Article 9 GDPR, Article 10 data and children's personal data are not intended for the service unless expressly agreed, lawful and technically approved in advance.</w:t>
      </w:r>
    </w:p>
    <w:p>
      <w:r>
        <w:t>Customer must only route personal data to features/providers currently approved for Processor Data in HSP's DPA/sub-processor information.</w:t>
      </w:r>
    </w:p>
    <w:p>
      <w:pPr>
        <w:pStyle w:val="Heading1"/>
      </w:pPr>
      <w:r>
        <w:t>13. Term</w:t>
      </w:r>
    </w:p>
    <w:p>
      <w:r>
        <w:t>This DPA applies from signature or other documented electronic agreement and for the duration of processing. Confidentiality, deletion and compliance duties survive where required by their nature.</w:t>
      </w:r>
    </w:p>
    <w:p>
      <w:pPr>
        <w:pStyle w:val="Heading1"/>
      </w:pPr>
      <w:r>
        <w:t>14. Miscellaneous</w:t>
      </w:r>
    </w:p>
    <w:p>
      <w:r>
        <w:t>The Main Agreement otherwise applies. Mandatory data-subject rights and supervisory powers remain unaffected. Amendments must be documented. Austrian law applies to the extent not displaced by mandatory data-protection or other law.</w:t>
      </w:r>
    </w:p>
    <w:p>
      <w:pPr>
        <w:pStyle w:val="Heading1"/>
      </w:pPr>
      <w:r>
        <w:t>Signatures</w:t>
      </w:r>
    </w:p>
    <w:tbl>
      <w:tblPr>
        <w:tblW w:type="auto" w:w="0"/>
        <w:jc w:val="center"/>
        <w:tblLayout w:type="fixed"/>
        <w:tblLook w:firstColumn="1" w:firstRow="1" w:lastColumn="0" w:lastRow="0" w:noHBand="0" w:noVBand="1" w:val="04A0"/>
      </w:tblPr>
      <w:tblGrid>
        <w:gridCol w:w="5128"/>
        <w:gridCol w:w="5128"/>
      </w:tblGrid>
      <w:tr>
        <w:trPr>
          <w:tblHeader w:val="true"/>
          <w:cantSplit/>
        </w:trPr>
        <w:tc>
          <w:tcPr>
            <w:tcW w:type="dxa" w:w="5128"/>
            <w:shd w:fill="17365D"/>
            <w:tcMar>
              <w:top w:w="80" w:type="dxa"/>
              <w:start w:w="90" w:type="dxa"/>
              <w:bottom w:w="80" w:type="dxa"/>
              <w:end w:w="90" w:type="dxa"/>
            </w:tcMar>
          </w:tcPr>
          <w:p>
            <w:r>
              <w:rPr>
                <w:b/>
                <w:color w:val="FFFFFF"/>
                <w:sz w:val="17"/>
              </w:rPr>
              <w:t>Customer / Controller</w:t>
            </w:r>
          </w:p>
        </w:tc>
        <w:tc>
          <w:tcPr>
            <w:tcW w:type="dxa" w:w="5128"/>
            <w:shd w:fill="17365D"/>
            <w:tcMar>
              <w:top w:w="80" w:type="dxa"/>
              <w:start w:w="90" w:type="dxa"/>
              <w:bottom w:w="80" w:type="dxa"/>
              <w:end w:w="90" w:type="dxa"/>
            </w:tcMar>
          </w:tcPr>
          <w:p>
            <w:r>
              <w:rPr>
                <w:b/>
                <w:color w:val="FFFFFF"/>
                <w:sz w:val="17"/>
              </w:rPr>
              <w:t>HSP Content Production / Processor</w:t>
            </w:r>
          </w:p>
        </w:tc>
      </w:tr>
      <w:tr>
        <w:trPr>
          <w:cantSplit/>
        </w:trPr>
        <w:tc>
          <w:tcPr>
            <w:tcW w:type="dxa" w:w="5128"/>
            <w:tcMar>
              <w:top w:w="80" w:type="dxa"/>
              <w:start w:w="90" w:type="dxa"/>
              <w:bottom w:w="80" w:type="dxa"/>
              <w:end w:w="90" w:type="dxa"/>
            </w:tcMar>
            <w:vAlign w:val="top"/>
          </w:tcPr>
          <w:p>
            <w:r>
              <w:rPr>
                <w:sz w:val="16"/>
              </w:rPr>
              <w:t>Place/date: ____________________</w:t>
              <w:br/>
              <w:t>Name/title: ____________________</w:t>
              <w:br/>
              <w:t>Signature: ____________________</w:t>
            </w:r>
          </w:p>
        </w:tc>
        <w:tc>
          <w:tcPr>
            <w:tcW w:type="dxa" w:w="5128"/>
            <w:tcMar>
              <w:top w:w="80" w:type="dxa"/>
              <w:start w:w="90" w:type="dxa"/>
              <w:bottom w:w="80" w:type="dxa"/>
              <w:end w:w="90" w:type="dxa"/>
            </w:tcMar>
            <w:vAlign w:val="top"/>
          </w:tcPr>
          <w:p>
            <w:r>
              <w:rPr>
                <w:sz w:val="16"/>
              </w:rPr>
              <w:t>Place/date: ____________________</w:t>
              <w:br/>
              <w:t>Heinz Siegfried Pestner</w:t>
              <w:br/>
              <w:t>Signature: ____________________</w:t>
            </w:r>
          </w:p>
        </w:tc>
      </w:tr>
    </w:tbl>
    <w:p>
      <w:r>
        <w:br w:type="page"/>
      </w:r>
    </w:p>
    <w:p>
      <w:pPr>
        <w:pStyle w:val="Heading1"/>
      </w:pPr>
      <w:r>
        <w:t>Annex 1 · Processing details</w:t>
      </w:r>
    </w:p>
    <w:tbl>
      <w:tblPr>
        <w:tblW w:type="auto" w:w="0"/>
        <w:jc w:val="center"/>
        <w:tblLayout w:type="fixed"/>
        <w:tblLook w:firstColumn="1" w:firstRow="1" w:lastColumn="0" w:lastRow="0" w:noHBand="0" w:noVBand="1" w:val="04A0"/>
      </w:tblPr>
      <w:tblGrid>
        <w:gridCol w:w="5128"/>
        <w:gridCol w:w="5128"/>
      </w:tblGrid>
      <w:tr>
        <w:trPr>
          <w:cantSplit/>
        </w:trPr>
        <w:tc>
          <w:tcPr>
            <w:tcW w:type="dxa" w:w="2551"/>
            <w:shd w:fill="EAF0F6"/>
            <w:tcMar>
              <w:top w:w="80" w:type="dxa"/>
              <w:start w:w="90" w:type="dxa"/>
              <w:bottom w:w="80" w:type="dxa"/>
              <w:end w:w="90" w:type="dxa"/>
            </w:tcMar>
            <w:vAlign w:val="top"/>
          </w:tcPr>
          <w:p>
            <w:r>
              <w:rPr>
                <w:b/>
                <w:color w:val="1F4E79"/>
                <w:sz w:val="18"/>
              </w:rPr>
              <w:t>Subject matter</w:t>
            </w:r>
          </w:p>
        </w:tc>
        <w:tc>
          <w:tcPr>
            <w:tcW w:type="dxa" w:w="6463"/>
            <w:tcMar>
              <w:top w:w="80" w:type="dxa"/>
              <w:start w:w="90" w:type="dxa"/>
              <w:bottom w:w="80" w:type="dxa"/>
              <w:end w:w="90" w:type="dxa"/>
            </w:tcMar>
            <w:vAlign w:val="top"/>
          </w:tcPr>
          <w:p>
            <w:r>
              <w:rPr>
                <w:sz w:val="18"/>
              </w:rPr>
              <w:t>Provision of customer-selected HSP Author Studio tools for Customer Content to the extent it contains personal data.</w:t>
            </w:r>
          </w:p>
        </w:tc>
      </w:tr>
      <w:tr>
        <w:trPr>
          <w:cantSplit/>
        </w:trPr>
        <w:tc>
          <w:tcPr>
            <w:tcW w:type="dxa" w:w="2551"/>
            <w:shd w:fill="EAF0F6"/>
            <w:tcMar>
              <w:top w:w="80" w:type="dxa"/>
              <w:start w:w="90" w:type="dxa"/>
              <w:bottom w:w="80" w:type="dxa"/>
              <w:end w:w="90" w:type="dxa"/>
            </w:tcMar>
            <w:vAlign w:val="top"/>
          </w:tcPr>
          <w:p>
            <w:r>
              <w:rPr>
                <w:b/>
                <w:color w:val="1F4E79"/>
                <w:sz w:val="18"/>
              </w:rPr>
              <w:t>Duration</w:t>
            </w:r>
          </w:p>
        </w:tc>
        <w:tc>
          <w:tcPr>
            <w:tcW w:type="dxa" w:w="6463"/>
            <w:tcMar>
              <w:top w:w="80" w:type="dxa"/>
              <w:start w:w="90" w:type="dxa"/>
              <w:bottom w:w="80" w:type="dxa"/>
              <w:end w:w="90" w:type="dxa"/>
            </w:tcMar>
            <w:vAlign w:val="top"/>
          </w:tcPr>
          <w:p>
            <w:r>
              <w:rPr>
                <w:sz w:val="18"/>
              </w:rPr>
              <w:t>Term of use/project plus necessary deletion/backup run-off and legally required evidence.</w:t>
            </w:r>
          </w:p>
        </w:tc>
      </w:tr>
      <w:tr>
        <w:trPr>
          <w:cantSplit/>
        </w:trPr>
        <w:tc>
          <w:tcPr>
            <w:tcW w:type="dxa" w:w="2551"/>
            <w:shd w:fill="EAF0F6"/>
            <w:tcMar>
              <w:top w:w="80" w:type="dxa"/>
              <w:start w:w="90" w:type="dxa"/>
              <w:bottom w:w="80" w:type="dxa"/>
              <w:end w:w="90" w:type="dxa"/>
            </w:tcMar>
            <w:vAlign w:val="top"/>
          </w:tcPr>
          <w:p>
            <w:r>
              <w:rPr>
                <w:b/>
                <w:color w:val="1F4E79"/>
                <w:sz w:val="18"/>
              </w:rPr>
              <w:t>Nature</w:t>
            </w:r>
          </w:p>
        </w:tc>
        <w:tc>
          <w:tcPr>
            <w:tcW w:type="dxa" w:w="6463"/>
            <w:tcMar>
              <w:top w:w="80" w:type="dxa"/>
              <w:start w:w="90" w:type="dxa"/>
              <w:bottom w:w="80" w:type="dxa"/>
              <w:end w:w="90" w:type="dxa"/>
            </w:tcMar>
            <w:vAlign w:val="top"/>
          </w:tcPr>
          <w:p>
            <w:r>
              <w:rPr>
                <w:sz w:val="18"/>
              </w:rPr>
              <w:t>Receive/collect, transmit, store where feature-specific, structure, analyse, generate, classify, transform, convert, make available and delete.</w:t>
            </w:r>
          </w:p>
        </w:tc>
      </w:tr>
      <w:tr>
        <w:trPr>
          <w:cantSplit/>
        </w:trPr>
        <w:tc>
          <w:tcPr>
            <w:tcW w:type="dxa" w:w="2551"/>
            <w:shd w:fill="EAF0F6"/>
            <w:tcMar>
              <w:top w:w="80" w:type="dxa"/>
              <w:start w:w="90" w:type="dxa"/>
              <w:bottom w:w="80" w:type="dxa"/>
              <w:end w:w="90" w:type="dxa"/>
            </w:tcMar>
            <w:vAlign w:val="top"/>
          </w:tcPr>
          <w:p>
            <w:r>
              <w:rPr>
                <w:b/>
                <w:color w:val="1F4E79"/>
                <w:sz w:val="18"/>
              </w:rPr>
              <w:t>Purposes</w:t>
            </w:r>
          </w:p>
        </w:tc>
        <w:tc>
          <w:tcPr>
            <w:tcW w:type="dxa" w:w="6463"/>
            <w:tcMar>
              <w:top w:w="80" w:type="dxa"/>
              <w:start w:w="90" w:type="dxa"/>
              <w:bottom w:w="80" w:type="dxa"/>
              <w:end w:w="90" w:type="dxa"/>
            </w:tcMar>
            <w:vAlign w:val="top"/>
          </w:tcPr>
          <w:p>
            <w:r>
              <w:rPr>
                <w:sz w:val="18"/>
              </w:rPr>
              <w:t>Only to perform customer-selected self-service tools, including book/text analysis, generation, covers/visuals, trailers, audiobook, BookCast, screenplay, market intelligence, publishing/workspace and technical export/mastering steps.</w:t>
            </w:r>
          </w:p>
        </w:tc>
      </w:tr>
      <w:tr>
        <w:trPr>
          <w:cantSplit/>
        </w:trPr>
        <w:tc>
          <w:tcPr>
            <w:tcW w:type="dxa" w:w="2551"/>
            <w:shd w:fill="EAF0F6"/>
            <w:tcMar>
              <w:top w:w="80" w:type="dxa"/>
              <w:start w:w="90" w:type="dxa"/>
              <w:bottom w:w="80" w:type="dxa"/>
              <w:end w:w="90" w:type="dxa"/>
            </w:tcMar>
            <w:vAlign w:val="top"/>
          </w:tcPr>
          <w:p>
            <w:r>
              <w:rPr>
                <w:b/>
                <w:color w:val="1F4E79"/>
                <w:sz w:val="18"/>
              </w:rPr>
              <w:t>Data subjects</w:t>
            </w:r>
          </w:p>
        </w:tc>
        <w:tc>
          <w:tcPr>
            <w:tcW w:type="dxa" w:w="6463"/>
            <w:tcMar>
              <w:top w:w="80" w:type="dxa"/>
              <w:start w:w="90" w:type="dxa"/>
              <w:bottom w:w="80" w:type="dxa"/>
              <w:end w:w="90" w:type="dxa"/>
            </w:tcMar>
            <w:vAlign w:val="top"/>
          </w:tcPr>
          <w:p>
            <w:r>
              <w:rPr>
                <w:sz w:val="18"/>
              </w:rPr>
              <w:t>Customer personnel/collaborators, authors, real persons referenced in manuscript/metadata/reference material and other individuals whose data Customer submits.</w:t>
            </w:r>
          </w:p>
        </w:tc>
      </w:tr>
      <w:tr>
        <w:trPr>
          <w:cantSplit/>
        </w:trPr>
        <w:tc>
          <w:tcPr>
            <w:tcW w:type="dxa" w:w="2551"/>
            <w:shd w:fill="EAF0F6"/>
            <w:tcMar>
              <w:top w:w="80" w:type="dxa"/>
              <w:start w:w="90" w:type="dxa"/>
              <w:bottom w:w="80" w:type="dxa"/>
              <w:end w:w="90" w:type="dxa"/>
            </w:tcMar>
            <w:vAlign w:val="top"/>
          </w:tcPr>
          <w:p>
            <w:r>
              <w:rPr>
                <w:b/>
                <w:color w:val="1F4E79"/>
                <w:sz w:val="18"/>
              </w:rPr>
              <w:t>Data categories</w:t>
            </w:r>
          </w:p>
        </w:tc>
        <w:tc>
          <w:tcPr>
            <w:tcW w:type="dxa" w:w="6463"/>
            <w:tcMar>
              <w:top w:w="80" w:type="dxa"/>
              <w:start w:w="90" w:type="dxa"/>
              <w:bottom w:w="80" w:type="dxa"/>
              <w:end w:w="90" w:type="dxa"/>
            </w:tcMar>
            <w:vAlign w:val="top"/>
          </w:tcPr>
          <w:p>
            <w:r>
              <w:rPr>
                <w:sz w:val="18"/>
              </w:rPr>
              <w:t>Names/contact data, author/project data, manuscript/text content, images/reference material, voice/pronunciation data, book metadata, generated outputs and project technical metadata.</w:t>
            </w:r>
          </w:p>
        </w:tc>
      </w:tr>
      <w:tr>
        <w:trPr>
          <w:cantSplit/>
        </w:trPr>
        <w:tc>
          <w:tcPr>
            <w:tcW w:type="dxa" w:w="2551"/>
            <w:shd w:fill="EAF0F6"/>
            <w:tcMar>
              <w:top w:w="80" w:type="dxa"/>
              <w:start w:w="90" w:type="dxa"/>
              <w:bottom w:w="80" w:type="dxa"/>
              <w:end w:w="90" w:type="dxa"/>
            </w:tcMar>
            <w:vAlign w:val="top"/>
          </w:tcPr>
          <w:p>
            <w:r>
              <w:rPr>
                <w:b/>
                <w:color w:val="1F4E79"/>
                <w:sz w:val="18"/>
              </w:rPr>
              <w:t>Special categories</w:t>
            </w:r>
          </w:p>
        </w:tc>
        <w:tc>
          <w:tcPr>
            <w:tcW w:type="dxa" w:w="6463"/>
            <w:tcMar>
              <w:top w:w="80" w:type="dxa"/>
              <w:start w:w="90" w:type="dxa"/>
              <w:bottom w:w="80" w:type="dxa"/>
              <w:end w:w="90" w:type="dxa"/>
            </w:tcMar>
            <w:vAlign w:val="top"/>
          </w:tcPr>
          <w:p>
            <w:r>
              <w:rPr>
                <w:sz w:val="18"/>
              </w:rPr>
              <w:t>Not intended. Processing requires prior express agreement plus lawful and technical approval.</w:t>
            </w:r>
          </w:p>
        </w:tc>
      </w:tr>
      <w:tr>
        <w:trPr>
          <w:cantSplit/>
        </w:trPr>
        <w:tc>
          <w:tcPr>
            <w:tcW w:type="dxa" w:w="2551"/>
            <w:shd w:fill="EAF0F6"/>
            <w:tcMar>
              <w:top w:w="80" w:type="dxa"/>
              <w:start w:w="90" w:type="dxa"/>
              <w:bottom w:w="80" w:type="dxa"/>
              <w:end w:w="90" w:type="dxa"/>
            </w:tcMar>
            <w:vAlign w:val="top"/>
          </w:tcPr>
          <w:p>
            <w:r>
              <w:rPr>
                <w:b/>
                <w:color w:val="1F4E79"/>
                <w:sz w:val="18"/>
              </w:rPr>
              <w:t>Instructions</w:t>
            </w:r>
          </w:p>
        </w:tc>
        <w:tc>
          <w:tcPr>
            <w:tcW w:type="dxa" w:w="6463"/>
            <w:tcMar>
              <w:top w:w="80" w:type="dxa"/>
              <w:start w:w="90" w:type="dxa"/>
              <w:bottom w:w="80" w:type="dxa"/>
              <w:end w:w="90" w:type="dxa"/>
            </w:tcMar>
            <w:vAlign w:val="top"/>
          </w:tcPr>
          <w:p>
            <w:r>
              <w:rPr>
                <w:sz w:val="18"/>
              </w:rPr>
              <w:t>In-product actions/settings/uploads/deletion/export commands and documented support instructions.</w:t>
            </w:r>
          </w:p>
        </w:tc>
      </w:tr>
    </w:tbl>
    <w:p>
      <w:pPr>
        <w:pStyle w:val="Heading1"/>
      </w:pPr>
      <w:r>
        <w:t>Annex 2 · Technical and organisational measures</w:t>
      </w:r>
    </w:p>
    <w:tbl>
      <w:tblPr>
        <w:tblW w:type="auto" w:w="0"/>
        <w:jc w:val="center"/>
        <w:tblLayout w:type="fixed"/>
        <w:tblLook w:firstColumn="1" w:firstRow="1" w:lastColumn="0" w:lastRow="0" w:noHBand="0" w:noVBand="1" w:val="04A0"/>
      </w:tblPr>
      <w:tblGrid>
        <w:gridCol w:w="5128"/>
        <w:gridCol w:w="5128"/>
      </w:tblGrid>
      <w:tr>
        <w:trPr>
          <w:tblHeader w:val="true"/>
          <w:cantSplit/>
        </w:trPr>
        <w:tc>
          <w:tcPr>
            <w:tcW w:type="dxa" w:w="5128"/>
            <w:shd w:fill="17365D"/>
            <w:tcMar>
              <w:top w:w="80" w:type="dxa"/>
              <w:start w:w="90" w:type="dxa"/>
              <w:bottom w:w="80" w:type="dxa"/>
              <w:end w:w="90" w:type="dxa"/>
            </w:tcMar>
          </w:tcPr>
          <w:p>
            <w:r>
              <w:rPr>
                <w:b/>
                <w:color w:val="FFFFFF"/>
                <w:sz w:val="17"/>
              </w:rPr>
              <w:t>Control area</w:t>
            </w:r>
          </w:p>
        </w:tc>
        <w:tc>
          <w:tcPr>
            <w:tcW w:type="dxa" w:w="5128"/>
            <w:shd w:fill="17365D"/>
            <w:tcMar>
              <w:top w:w="80" w:type="dxa"/>
              <w:start w:w="90" w:type="dxa"/>
              <w:bottom w:w="80" w:type="dxa"/>
              <w:end w:w="90" w:type="dxa"/>
            </w:tcMar>
          </w:tcPr>
          <w:p>
            <w:r>
              <w:rPr>
                <w:b/>
                <w:color w:val="FFFFFF"/>
                <w:sz w:val="17"/>
              </w:rPr>
              <w:t>Measure</w:t>
            </w:r>
          </w:p>
        </w:tc>
      </w:tr>
      <w:tr>
        <w:trPr>
          <w:cantSplit/>
        </w:trPr>
        <w:tc>
          <w:tcPr>
            <w:tcW w:type="dxa" w:w="5128"/>
            <w:tcMar>
              <w:top w:w="80" w:type="dxa"/>
              <w:start w:w="90" w:type="dxa"/>
              <w:bottom w:w="80" w:type="dxa"/>
              <w:end w:w="90" w:type="dxa"/>
            </w:tcMar>
            <w:vAlign w:val="top"/>
          </w:tcPr>
          <w:p>
            <w:r>
              <w:rPr>
                <w:sz w:val="16"/>
              </w:rPr>
              <w:t>Access/authentication</w:t>
            </w:r>
          </w:p>
        </w:tc>
        <w:tc>
          <w:tcPr>
            <w:tcW w:type="dxa" w:w="5128"/>
            <w:tcMar>
              <w:top w:w="80" w:type="dxa"/>
              <w:start w:w="90" w:type="dxa"/>
              <w:bottom w:w="80" w:type="dxa"/>
              <w:end w:w="90" w:type="dxa"/>
            </w:tcMar>
            <w:vAlign w:val="top"/>
          </w:tcPr>
          <w:p>
            <w:r>
              <w:rPr>
                <w:sz w:val="16"/>
              </w:rPr>
              <w:t>Supabase Auth, server-side session checks for sensitive functions, role-based admin/workspace checks.</w:t>
            </w:r>
          </w:p>
        </w:tc>
      </w:tr>
      <w:tr>
        <w:trPr>
          <w:cantSplit/>
        </w:trPr>
        <w:tc>
          <w:tcPr>
            <w:tcW w:type="dxa" w:w="5128"/>
            <w:tcMar>
              <w:top w:w="80" w:type="dxa"/>
              <w:start w:w="90" w:type="dxa"/>
              <w:bottom w:w="80" w:type="dxa"/>
              <w:end w:w="90" w:type="dxa"/>
            </w:tcMar>
            <w:vAlign w:val="top"/>
          </w:tcPr>
          <w:p>
            <w:r>
              <w:rPr>
                <w:sz w:val="16"/>
              </w:rPr>
              <w:t>Separation/authorisation</w:t>
            </w:r>
          </w:p>
        </w:tc>
        <w:tc>
          <w:tcPr>
            <w:tcW w:type="dxa" w:w="5128"/>
            <w:tcMar>
              <w:top w:w="80" w:type="dxa"/>
              <w:start w:w="90" w:type="dxa"/>
              <w:bottom w:w="80" w:type="dxa"/>
              <w:end w:w="90" w:type="dxa"/>
            </w:tcMar>
            <w:vAlign w:val="top"/>
          </w:tcPr>
          <w:p>
            <w:r>
              <w:rPr>
                <w:sz w:val="16"/>
              </w:rPr>
              <w:t>RLS and/or server-side user/book/workspace scoped access; private tables/buckets for sensitive project content.</w:t>
            </w:r>
          </w:p>
        </w:tc>
      </w:tr>
      <w:tr>
        <w:trPr>
          <w:cantSplit/>
        </w:trPr>
        <w:tc>
          <w:tcPr>
            <w:tcW w:type="dxa" w:w="5128"/>
            <w:tcMar>
              <w:top w:w="80" w:type="dxa"/>
              <w:start w:w="90" w:type="dxa"/>
              <w:bottom w:w="80" w:type="dxa"/>
              <w:end w:w="90" w:type="dxa"/>
            </w:tcMar>
            <w:vAlign w:val="top"/>
          </w:tcPr>
          <w:p>
            <w:r>
              <w:rPr>
                <w:sz w:val="16"/>
              </w:rPr>
              <w:t>Encryption in transit</w:t>
            </w:r>
          </w:p>
        </w:tc>
        <w:tc>
          <w:tcPr>
            <w:tcW w:type="dxa" w:w="5128"/>
            <w:tcMar>
              <w:top w:w="80" w:type="dxa"/>
              <w:start w:w="90" w:type="dxa"/>
              <w:bottom w:w="80" w:type="dxa"/>
              <w:end w:w="90" w:type="dxa"/>
            </w:tcMar>
            <w:vAlign w:val="top"/>
          </w:tcPr>
          <w:p>
            <w:r>
              <w:rPr>
                <w:sz w:val="16"/>
              </w:rPr>
              <w:t>HTTPS/TLS for web, API and provider communication.</w:t>
            </w:r>
          </w:p>
        </w:tc>
      </w:tr>
      <w:tr>
        <w:trPr>
          <w:cantSplit/>
        </w:trPr>
        <w:tc>
          <w:tcPr>
            <w:tcW w:type="dxa" w:w="5128"/>
            <w:tcMar>
              <w:top w:w="80" w:type="dxa"/>
              <w:start w:w="90" w:type="dxa"/>
              <w:bottom w:w="80" w:type="dxa"/>
              <w:end w:w="90" w:type="dxa"/>
            </w:tcMar>
            <w:vAlign w:val="top"/>
          </w:tcPr>
          <w:p>
            <w:r>
              <w:rPr>
                <w:sz w:val="16"/>
              </w:rPr>
              <w:t>Secrets</w:t>
            </w:r>
          </w:p>
        </w:tc>
        <w:tc>
          <w:tcPr>
            <w:tcW w:type="dxa" w:w="5128"/>
            <w:tcMar>
              <w:top w:w="80" w:type="dxa"/>
              <w:start w:w="90" w:type="dxa"/>
              <w:bottom w:w="80" w:type="dxa"/>
              <w:end w:w="90" w:type="dxa"/>
            </w:tcMar>
            <w:vAlign w:val="top"/>
          </w:tcPr>
          <w:p>
            <w:r>
              <w:rPr>
                <w:sz w:val="16"/>
              </w:rPr>
              <w:t>Provider/API/service-role secrets kept server-side; release secret scan; no provider secrets in public builds.</w:t>
            </w:r>
          </w:p>
        </w:tc>
      </w:tr>
      <w:tr>
        <w:trPr>
          <w:cantSplit/>
        </w:trPr>
        <w:tc>
          <w:tcPr>
            <w:tcW w:type="dxa" w:w="5128"/>
            <w:tcMar>
              <w:top w:w="80" w:type="dxa"/>
              <w:start w:w="90" w:type="dxa"/>
              <w:bottom w:w="80" w:type="dxa"/>
              <w:end w:w="90" w:type="dxa"/>
            </w:tcMar>
            <w:vAlign w:val="top"/>
          </w:tcPr>
          <w:p>
            <w:r>
              <w:rPr>
                <w:sz w:val="16"/>
              </w:rPr>
              <w:t>Asset protection</w:t>
            </w:r>
          </w:p>
        </w:tc>
        <w:tc>
          <w:tcPr>
            <w:tcW w:type="dxa" w:w="5128"/>
            <w:tcMar>
              <w:top w:w="80" w:type="dxa"/>
              <w:start w:w="90" w:type="dxa"/>
              <w:bottom w:w="80" w:type="dxa"/>
              <w:end w:w="90" w:type="dxa"/>
            </w:tcMar>
            <w:vAlign w:val="top"/>
          </w:tcPr>
          <w:p>
            <w:r>
              <w:rPr>
                <w:sz w:val="16"/>
              </w:rPr>
              <w:t>Private Supabase buckets and time-limited signed URLs; public quiz output is reduced to a dedicated public payload.</w:t>
            </w:r>
          </w:p>
        </w:tc>
      </w:tr>
      <w:tr>
        <w:trPr>
          <w:cantSplit/>
        </w:trPr>
        <w:tc>
          <w:tcPr>
            <w:tcW w:type="dxa" w:w="5128"/>
            <w:tcMar>
              <w:top w:w="80" w:type="dxa"/>
              <w:start w:w="90" w:type="dxa"/>
              <w:bottom w:w="80" w:type="dxa"/>
              <w:end w:w="90" w:type="dxa"/>
            </w:tcMar>
            <w:vAlign w:val="top"/>
          </w:tcPr>
          <w:p>
            <w:r>
              <w:rPr>
                <w:sz w:val="16"/>
              </w:rPr>
              <w:t>Data minimisation</w:t>
            </w:r>
          </w:p>
        </w:tc>
        <w:tc>
          <w:tcPr>
            <w:tcW w:type="dxa" w:w="5128"/>
            <w:tcMar>
              <w:top w:w="80" w:type="dxa"/>
              <w:start w:w="90" w:type="dxa"/>
              <w:bottom w:w="80" w:type="dxa"/>
              <w:end w:w="90" w:type="dxa"/>
            </w:tcMar>
            <w:vAlign w:val="top"/>
          </w:tcPr>
          <w:p>
            <w:r>
              <w:rPr>
                <w:sz w:val="16"/>
              </w:rPr>
              <w:t>Browser-local processing where possible; bounded excerpts for long manuscripts; feature-specific rather than blanket provider transfers.</w:t>
            </w:r>
          </w:p>
        </w:tc>
      </w:tr>
      <w:tr>
        <w:trPr>
          <w:cantSplit/>
        </w:trPr>
        <w:tc>
          <w:tcPr>
            <w:tcW w:type="dxa" w:w="5128"/>
            <w:tcMar>
              <w:top w:w="80" w:type="dxa"/>
              <w:start w:w="90" w:type="dxa"/>
              <w:bottom w:w="80" w:type="dxa"/>
              <w:end w:w="90" w:type="dxa"/>
            </w:tcMar>
            <w:vAlign w:val="top"/>
          </w:tcPr>
          <w:p>
            <w:r>
              <w:rPr>
                <w:sz w:val="16"/>
              </w:rPr>
              <w:t>Integrity/idempotency</w:t>
            </w:r>
          </w:p>
        </w:tc>
        <w:tc>
          <w:tcPr>
            <w:tcW w:type="dxa" w:w="5128"/>
            <w:tcMar>
              <w:top w:w="80" w:type="dxa"/>
              <w:start w:w="90" w:type="dxa"/>
              <w:bottom w:w="80" w:type="dxa"/>
              <w:end w:w="90" w:type="dxa"/>
            </w:tcMar>
            <w:vAlign w:val="top"/>
          </w:tcPr>
          <w:p>
            <w:r>
              <w:rPr>
                <w:sz w:val="16"/>
              </w:rPr>
              <w:t>Request IDs, hashes, credit reservations, server-side generation/job claims and version/CAS checks for selected workflows.</w:t>
            </w:r>
          </w:p>
        </w:tc>
      </w:tr>
      <w:tr>
        <w:trPr>
          <w:cantSplit/>
        </w:trPr>
        <w:tc>
          <w:tcPr>
            <w:tcW w:type="dxa" w:w="5128"/>
            <w:tcMar>
              <w:top w:w="80" w:type="dxa"/>
              <w:start w:w="90" w:type="dxa"/>
              <w:bottom w:w="80" w:type="dxa"/>
              <w:end w:w="90" w:type="dxa"/>
            </w:tcMar>
            <w:vAlign w:val="top"/>
          </w:tcPr>
          <w:p>
            <w:r>
              <w:rPr>
                <w:sz w:val="16"/>
              </w:rPr>
              <w:t>Abuse protection</w:t>
            </w:r>
          </w:p>
        </w:tc>
        <w:tc>
          <w:tcPr>
            <w:tcW w:type="dxa" w:w="5128"/>
            <w:tcMar>
              <w:top w:w="80" w:type="dxa"/>
              <w:start w:w="90" w:type="dxa"/>
              <w:bottom w:w="80" w:type="dxa"/>
              <w:end w:w="90" w:type="dxa"/>
            </w:tcMar>
            <w:vAlign w:val="top"/>
          </w:tcPr>
          <w:p>
            <w:r>
              <w:rPr>
                <w:sz w:val="16"/>
              </w:rPr>
              <w:t>Rate limits, plan/credit gates, public Reader Quiz throttling and security/CSP monitoring.</w:t>
            </w:r>
          </w:p>
        </w:tc>
      </w:tr>
      <w:tr>
        <w:trPr>
          <w:cantSplit/>
        </w:trPr>
        <w:tc>
          <w:tcPr>
            <w:tcW w:type="dxa" w:w="5128"/>
            <w:tcMar>
              <w:top w:w="80" w:type="dxa"/>
              <w:start w:w="90" w:type="dxa"/>
              <w:bottom w:w="80" w:type="dxa"/>
              <w:end w:w="90" w:type="dxa"/>
            </w:tcMar>
            <w:vAlign w:val="top"/>
          </w:tcPr>
          <w:p>
            <w:r>
              <w:rPr>
                <w:sz w:val="16"/>
              </w:rPr>
              <w:t>Logging</w:t>
            </w:r>
          </w:p>
        </w:tc>
        <w:tc>
          <w:tcPr>
            <w:tcW w:type="dxa" w:w="5128"/>
            <w:tcMar>
              <w:top w:w="80" w:type="dxa"/>
              <w:start w:w="90" w:type="dxa"/>
              <w:bottom w:w="80" w:type="dxa"/>
              <w:end w:w="90" w:type="dxa"/>
            </w:tcMar>
            <w:vAlign w:val="top"/>
          </w:tcPr>
          <w:p>
            <w:r>
              <w:rPr>
                <w:sz w:val="16"/>
              </w:rPr>
              <w:t>Status, billing, security and error events with minimisation; no intentional full-manuscript content logging.</w:t>
            </w:r>
          </w:p>
        </w:tc>
      </w:tr>
      <w:tr>
        <w:trPr>
          <w:cantSplit/>
        </w:trPr>
        <w:tc>
          <w:tcPr>
            <w:tcW w:type="dxa" w:w="5128"/>
            <w:tcMar>
              <w:top w:w="80" w:type="dxa"/>
              <w:start w:w="90" w:type="dxa"/>
              <w:bottom w:w="80" w:type="dxa"/>
              <w:end w:w="90" w:type="dxa"/>
            </w:tcMar>
            <w:vAlign w:val="top"/>
          </w:tcPr>
          <w:p>
            <w:r>
              <w:rPr>
                <w:sz w:val="16"/>
              </w:rPr>
              <w:t>Availability/recovery</w:t>
            </w:r>
          </w:p>
        </w:tc>
        <w:tc>
          <w:tcPr>
            <w:tcW w:type="dxa" w:w="5128"/>
            <w:tcMar>
              <w:top w:w="80" w:type="dxa"/>
              <w:start w:w="90" w:type="dxa"/>
              <w:bottom w:w="80" w:type="dxa"/>
              <w:end w:w="90" w:type="dxa"/>
            </w:tcMar>
            <w:vAlign w:val="top"/>
          </w:tcPr>
          <w:p>
            <w:r>
              <w:rPr>
                <w:sz w:val="16"/>
              </w:rPr>
              <w:t>Managed Supabase/provider infrastructure, job status/retry and project recovery mechanisms.</w:t>
            </w:r>
          </w:p>
        </w:tc>
      </w:tr>
      <w:tr>
        <w:trPr>
          <w:cantSplit/>
        </w:trPr>
        <w:tc>
          <w:tcPr>
            <w:tcW w:type="dxa" w:w="5128"/>
            <w:tcMar>
              <w:top w:w="80" w:type="dxa"/>
              <w:start w:w="90" w:type="dxa"/>
              <w:bottom w:w="80" w:type="dxa"/>
              <w:end w:w="90" w:type="dxa"/>
            </w:tcMar>
            <w:vAlign w:val="top"/>
          </w:tcPr>
          <w:p>
            <w:r>
              <w:rPr>
                <w:sz w:val="16"/>
              </w:rPr>
              <w:t>Deletion</w:t>
            </w:r>
          </w:p>
        </w:tc>
        <w:tc>
          <w:tcPr>
            <w:tcW w:type="dxa" w:w="5128"/>
            <w:tcMar>
              <w:top w:w="80" w:type="dxa"/>
              <w:start w:w="90" w:type="dxa"/>
              <w:bottom w:w="80" w:type="dxa"/>
              <w:end w:w="90" w:type="dxa"/>
            </w:tcMar>
            <w:vAlign w:val="top"/>
          </w:tcPr>
          <w:p>
            <w:r>
              <w:rPr>
                <w:sz w:val="16"/>
              </w:rPr>
              <w:t>Project/account deletion workflows, time-based deletion of selected temporary assets and provider/backup run-off according to documented rules.</w:t>
            </w:r>
          </w:p>
        </w:tc>
      </w:tr>
      <w:tr>
        <w:trPr>
          <w:cantSplit/>
        </w:trPr>
        <w:tc>
          <w:tcPr>
            <w:tcW w:type="dxa" w:w="5128"/>
            <w:tcMar>
              <w:top w:w="80" w:type="dxa"/>
              <w:start w:w="90" w:type="dxa"/>
              <w:bottom w:w="80" w:type="dxa"/>
              <w:end w:w="90" w:type="dxa"/>
            </w:tcMar>
            <w:vAlign w:val="top"/>
          </w:tcPr>
          <w:p>
            <w:r>
              <w:rPr>
                <w:sz w:val="16"/>
              </w:rPr>
              <w:t>Release security</w:t>
            </w:r>
          </w:p>
        </w:tc>
        <w:tc>
          <w:tcPr>
            <w:tcW w:type="dxa" w:w="5128"/>
            <w:tcMar>
              <w:top w:w="80" w:type="dxa"/>
              <w:start w:w="90" w:type="dxa"/>
              <w:bottom w:w="80" w:type="dxa"/>
              <w:end w:w="90" w:type="dxa"/>
            </w:tcMar>
            <w:vAlign w:val="top"/>
          </w:tcPr>
          <w:p>
            <w:r>
              <w:rPr>
                <w:sz w:val="16"/>
              </w:rPr>
              <w:t>Source parity, schema compatibility, syntax, secret and reference gates before release.</w:t>
            </w:r>
          </w:p>
        </w:tc>
      </w:tr>
    </w:tbl>
    <w:p>
      <w:pPr>
        <w:pStyle w:val="Heading1"/>
      </w:pPr>
      <w:r>
        <w:t>Annex 3 · Approved sub-processors</w:t>
      </w:r>
    </w:p>
    <w:tbl>
      <w:tblPr>
        <w:tblW w:type="auto" w:w="0"/>
        <w:jc w:val="center"/>
        <w:tblLayout w:type="fixed"/>
        <w:tblLook w:firstColumn="1" w:firstRow="1" w:lastColumn="0" w:lastRow="0" w:noHBand="0" w:noVBand="1" w:val="04A0"/>
      </w:tblPr>
      <w:tblGrid>
        <w:gridCol w:w="2051"/>
        <w:gridCol w:w="2051"/>
        <w:gridCol w:w="2051"/>
        <w:gridCol w:w="2051"/>
        <w:gridCol w:w="2051"/>
      </w:tblGrid>
      <w:tr>
        <w:trPr>
          <w:tblHeader w:val="true"/>
          <w:cantSplit/>
        </w:trPr>
        <w:tc>
          <w:tcPr>
            <w:tcW w:type="dxa" w:w="2051"/>
            <w:shd w:fill="17365D"/>
            <w:tcMar>
              <w:top w:w="80" w:type="dxa"/>
              <w:start w:w="90" w:type="dxa"/>
              <w:bottom w:w="80" w:type="dxa"/>
              <w:end w:w="90" w:type="dxa"/>
            </w:tcMar>
          </w:tcPr>
          <w:p>
            <w:r>
              <w:rPr>
                <w:b/>
                <w:color w:val="FFFFFF"/>
                <w:sz w:val="17"/>
              </w:rPr>
              <w:t>Sub-processor</w:t>
            </w:r>
          </w:p>
        </w:tc>
        <w:tc>
          <w:tcPr>
            <w:tcW w:type="dxa" w:w="2051"/>
            <w:shd w:fill="17365D"/>
            <w:tcMar>
              <w:top w:w="80" w:type="dxa"/>
              <w:start w:w="90" w:type="dxa"/>
              <w:bottom w:w="80" w:type="dxa"/>
              <w:end w:w="90" w:type="dxa"/>
            </w:tcMar>
          </w:tcPr>
          <w:p>
            <w:r>
              <w:rPr>
                <w:b/>
                <w:color w:val="FFFFFF"/>
                <w:sz w:val="17"/>
              </w:rPr>
              <w:t>Purpose</w:t>
            </w:r>
          </w:p>
        </w:tc>
        <w:tc>
          <w:tcPr>
            <w:tcW w:type="dxa" w:w="2051"/>
            <w:shd w:fill="17365D"/>
            <w:tcMar>
              <w:top w:w="80" w:type="dxa"/>
              <w:start w:w="90" w:type="dxa"/>
              <w:bottom w:w="80" w:type="dxa"/>
              <w:end w:w="90" w:type="dxa"/>
            </w:tcMar>
          </w:tcPr>
          <w:p>
            <w:r>
              <w:rPr>
                <w:b/>
                <w:color w:val="FFFFFF"/>
                <w:sz w:val="17"/>
              </w:rPr>
              <w:t>Location</w:t>
            </w:r>
          </w:p>
        </w:tc>
        <w:tc>
          <w:tcPr>
            <w:tcW w:type="dxa" w:w="2051"/>
            <w:shd w:fill="17365D"/>
            <w:tcMar>
              <w:top w:w="80" w:type="dxa"/>
              <w:start w:w="90" w:type="dxa"/>
              <w:bottom w:w="80" w:type="dxa"/>
              <w:end w:w="90" w:type="dxa"/>
            </w:tcMar>
          </w:tcPr>
          <w:p>
            <w:r>
              <w:rPr>
                <w:b/>
                <w:color w:val="FFFFFF"/>
                <w:sz w:val="17"/>
              </w:rPr>
              <w:t>Transfer/contract mechanism</w:t>
            </w:r>
          </w:p>
        </w:tc>
        <w:tc>
          <w:tcPr>
            <w:tcW w:type="dxa" w:w="2051"/>
            <w:shd w:fill="17365D"/>
            <w:tcMar>
              <w:top w:w="80" w:type="dxa"/>
              <w:start w:w="90" w:type="dxa"/>
              <w:bottom w:w="80" w:type="dxa"/>
              <w:end w:w="90" w:type="dxa"/>
            </w:tcMar>
          </w:tcPr>
          <w:p>
            <w:r>
              <w:rPr>
                <w:b/>
                <w:color w:val="FFFFFF"/>
                <w:sz w:val="17"/>
              </w:rPr>
              <w:t>Status</w:t>
            </w:r>
          </w:p>
        </w:tc>
      </w:tr>
      <w:tr>
        <w:trPr>
          <w:cantSplit/>
        </w:trPr>
        <w:tc>
          <w:tcPr>
            <w:tcW w:type="dxa" w:w="2051"/>
            <w:tcMar>
              <w:top w:w="80" w:type="dxa"/>
              <w:start w:w="90" w:type="dxa"/>
              <w:bottom w:w="80" w:type="dxa"/>
              <w:end w:w="90" w:type="dxa"/>
            </w:tcMar>
            <w:vAlign w:val="top"/>
          </w:tcPr>
          <w:p>
            <w:r>
              <w:rPr>
                <w:sz w:val="16"/>
              </w:rPr>
              <w:t>Supabase Pte. Ltd.</w:t>
            </w:r>
          </w:p>
        </w:tc>
        <w:tc>
          <w:tcPr>
            <w:tcW w:type="dxa" w:w="2051"/>
            <w:tcMar>
              <w:top w:w="80" w:type="dxa"/>
              <w:start w:w="90" w:type="dxa"/>
              <w:bottom w:w="80" w:type="dxa"/>
              <w:end w:w="90" w:type="dxa"/>
            </w:tcMar>
            <w:vAlign w:val="top"/>
          </w:tcPr>
          <w:p>
            <w:r>
              <w:rPr>
                <w:sz w:val="16"/>
              </w:rPr>
              <w:t>Auth, database, storage, Edge Functions</w:t>
            </w:r>
          </w:p>
        </w:tc>
        <w:tc>
          <w:tcPr>
            <w:tcW w:type="dxa" w:w="2051"/>
            <w:tcMar>
              <w:top w:w="80" w:type="dxa"/>
              <w:start w:w="90" w:type="dxa"/>
              <w:bottom w:w="80" w:type="dxa"/>
              <w:end w:w="90" w:type="dxa"/>
            </w:tcMar>
            <w:vAlign w:val="top"/>
          </w:tcPr>
          <w:p>
            <w:r>
              <w:rPr>
                <w:sz w:val="16"/>
              </w:rPr>
              <w:t>Frankfurt project region; contractual/support chain may be international</w:t>
            </w:r>
          </w:p>
        </w:tc>
        <w:tc>
          <w:tcPr>
            <w:tcW w:type="dxa" w:w="2051"/>
            <w:tcMar>
              <w:top w:w="80" w:type="dxa"/>
              <w:start w:w="90" w:type="dxa"/>
              <w:bottom w:w="80" w:type="dxa"/>
              <w:end w:w="90" w:type="dxa"/>
            </w:tcMar>
            <w:vAlign w:val="top"/>
          </w:tcPr>
          <w:p>
            <w:r>
              <w:rPr>
                <w:sz w:val="16"/>
              </w:rPr>
              <w:t>DPA; SCCs/appropriate safeguards for restricted transfers</w:t>
            </w:r>
          </w:p>
        </w:tc>
        <w:tc>
          <w:tcPr>
            <w:tcW w:type="dxa" w:w="2051"/>
            <w:tcMar>
              <w:top w:w="80" w:type="dxa"/>
              <w:start w:w="90" w:type="dxa"/>
              <w:bottom w:w="80" w:type="dxa"/>
              <w:end w:w="90" w:type="dxa"/>
            </w:tcMar>
            <w:vAlign w:val="top"/>
          </w:tcPr>
          <w:p>
            <w:r>
              <w:rPr>
                <w:sz w:val="16"/>
              </w:rPr>
              <w:t>Approved</w:t>
            </w:r>
          </w:p>
        </w:tc>
      </w:tr>
      <w:tr>
        <w:trPr>
          <w:cantSplit/>
        </w:trPr>
        <w:tc>
          <w:tcPr>
            <w:tcW w:type="dxa" w:w="2051"/>
            <w:tcMar>
              <w:top w:w="80" w:type="dxa"/>
              <w:start w:w="90" w:type="dxa"/>
              <w:bottom w:w="80" w:type="dxa"/>
              <w:end w:w="90" w:type="dxa"/>
            </w:tcMar>
            <w:vAlign w:val="top"/>
          </w:tcPr>
          <w:p>
            <w:r>
              <w:rPr>
                <w:sz w:val="16"/>
              </w:rPr>
              <w:t>OpenAI Ireland Ltd. / OpenAI</w:t>
            </w:r>
          </w:p>
        </w:tc>
        <w:tc>
          <w:tcPr>
            <w:tcW w:type="dxa" w:w="2051"/>
            <w:tcMar>
              <w:top w:w="80" w:type="dxa"/>
              <w:start w:w="90" w:type="dxa"/>
              <w:bottom w:w="80" w:type="dxa"/>
              <w:end w:w="90" w:type="dxa"/>
            </w:tcMar>
            <w:vAlign w:val="top"/>
          </w:tcPr>
          <w:p>
            <w:r>
              <w:rPr>
                <w:sz w:val="16"/>
              </w:rPr>
              <w:t>Text/image/analysis/web-search functions</w:t>
            </w:r>
          </w:p>
        </w:tc>
        <w:tc>
          <w:tcPr>
            <w:tcW w:type="dxa" w:w="2051"/>
            <w:tcMar>
              <w:top w:w="80" w:type="dxa"/>
              <w:start w:w="90" w:type="dxa"/>
              <w:bottom w:w="80" w:type="dxa"/>
              <w:end w:w="90" w:type="dxa"/>
            </w:tcMar>
            <w:vAlign w:val="top"/>
          </w:tcPr>
          <w:p>
            <w:r>
              <w:rPr>
                <w:sz w:val="16"/>
              </w:rPr>
              <w:t>EEA + documented onward transfers</w:t>
            </w:r>
          </w:p>
        </w:tc>
        <w:tc>
          <w:tcPr>
            <w:tcW w:type="dxa" w:w="2051"/>
            <w:tcMar>
              <w:top w:w="80" w:type="dxa"/>
              <w:start w:w="90" w:type="dxa"/>
              <w:bottom w:w="80" w:type="dxa"/>
              <w:end w:w="90" w:type="dxa"/>
            </w:tcMar>
            <w:vAlign w:val="top"/>
          </w:tcPr>
          <w:p>
            <w:r>
              <w:rPr>
                <w:sz w:val="16"/>
              </w:rPr>
              <w:t>OpenAI DPA; SCCs/adequacy mechanisms</w:t>
            </w:r>
          </w:p>
        </w:tc>
        <w:tc>
          <w:tcPr>
            <w:tcW w:type="dxa" w:w="2051"/>
            <w:tcMar>
              <w:top w:w="80" w:type="dxa"/>
              <w:start w:w="90" w:type="dxa"/>
              <w:bottom w:w="80" w:type="dxa"/>
              <w:end w:w="90" w:type="dxa"/>
            </w:tcMar>
            <w:vAlign w:val="top"/>
          </w:tcPr>
          <w:p>
            <w:r>
              <w:rPr>
                <w:sz w:val="16"/>
              </w:rPr>
              <w:t>Approved</w:t>
            </w:r>
          </w:p>
        </w:tc>
      </w:tr>
      <w:tr>
        <w:trPr>
          <w:cantSplit/>
        </w:trPr>
        <w:tc>
          <w:tcPr>
            <w:tcW w:type="dxa" w:w="2051"/>
            <w:tcMar>
              <w:top w:w="80" w:type="dxa"/>
              <w:start w:w="90" w:type="dxa"/>
              <w:bottom w:w="80" w:type="dxa"/>
              <w:end w:w="90" w:type="dxa"/>
            </w:tcMar>
            <w:vAlign w:val="top"/>
          </w:tcPr>
          <w:p>
            <w:r>
              <w:rPr>
                <w:sz w:val="16"/>
              </w:rPr>
              <w:t>ElevenLabs</w:t>
            </w:r>
          </w:p>
        </w:tc>
        <w:tc>
          <w:tcPr>
            <w:tcW w:type="dxa" w:w="2051"/>
            <w:tcMar>
              <w:top w:w="80" w:type="dxa"/>
              <w:start w:w="90" w:type="dxa"/>
              <w:bottom w:w="80" w:type="dxa"/>
              <w:end w:w="90" w:type="dxa"/>
            </w:tcMar>
            <w:vAlign w:val="top"/>
          </w:tcPr>
          <w:p>
            <w:r>
              <w:rPr>
                <w:sz w:val="16"/>
              </w:rPr>
              <w:t>Text-to-speech when selected</w:t>
            </w:r>
          </w:p>
        </w:tc>
        <w:tc>
          <w:tcPr>
            <w:tcW w:type="dxa" w:w="2051"/>
            <w:tcMar>
              <w:top w:w="80" w:type="dxa"/>
              <w:start w:w="90" w:type="dxa"/>
              <w:bottom w:w="80" w:type="dxa"/>
              <w:end w:w="90" w:type="dxa"/>
            </w:tcMar>
            <w:vAlign w:val="top"/>
          </w:tcPr>
          <w:p>
            <w:r>
              <w:rPr>
                <w:sz w:val="16"/>
              </w:rPr>
              <w:t>Provider dependent / international</w:t>
            </w:r>
          </w:p>
        </w:tc>
        <w:tc>
          <w:tcPr>
            <w:tcW w:type="dxa" w:w="2051"/>
            <w:tcMar>
              <w:top w:w="80" w:type="dxa"/>
              <w:start w:w="90" w:type="dxa"/>
              <w:bottom w:w="80" w:type="dxa"/>
              <w:end w:w="90" w:type="dxa"/>
            </w:tcMar>
            <w:vAlign w:val="top"/>
          </w:tcPr>
          <w:p>
            <w:r>
              <w:rPr>
                <w:sz w:val="16"/>
              </w:rPr>
              <w:t>ElevenLabs DPA; DPF/SCCs as applicable</w:t>
            </w:r>
          </w:p>
        </w:tc>
        <w:tc>
          <w:tcPr>
            <w:tcW w:type="dxa" w:w="2051"/>
            <w:tcMar>
              <w:top w:w="80" w:type="dxa"/>
              <w:start w:w="90" w:type="dxa"/>
              <w:bottom w:w="80" w:type="dxa"/>
              <w:end w:w="90" w:type="dxa"/>
            </w:tcMar>
            <w:vAlign w:val="top"/>
          </w:tcPr>
          <w:p>
            <w:r>
              <w:rPr>
                <w:sz w:val="16"/>
              </w:rPr>
              <w:t>Approved</w:t>
            </w:r>
          </w:p>
        </w:tc>
      </w:tr>
      <w:tr>
        <w:trPr>
          <w:cantSplit/>
        </w:trPr>
        <w:tc>
          <w:tcPr>
            <w:tcW w:type="dxa" w:w="2051"/>
            <w:tcMar>
              <w:top w:w="80" w:type="dxa"/>
              <w:start w:w="90" w:type="dxa"/>
              <w:bottom w:w="80" w:type="dxa"/>
              <w:end w:w="90" w:type="dxa"/>
            </w:tcMar>
            <w:vAlign w:val="top"/>
          </w:tcPr>
          <w:p>
            <w:r>
              <w:rPr>
                <w:sz w:val="16"/>
              </w:rPr>
              <w:t>Features &amp; Labels, Inc. (fal.ai)</w:t>
            </w:r>
          </w:p>
        </w:tc>
        <w:tc>
          <w:tcPr>
            <w:tcW w:type="dxa" w:w="2051"/>
            <w:tcMar>
              <w:top w:w="80" w:type="dxa"/>
              <w:start w:w="90" w:type="dxa"/>
              <w:bottom w:w="80" w:type="dxa"/>
              <w:end w:w="90" w:type="dxa"/>
            </w:tcMar>
            <w:vAlign w:val="top"/>
          </w:tcPr>
          <w:p>
            <w:r>
              <w:rPr>
                <w:sz w:val="16"/>
              </w:rPr>
              <w:t>Video generation and media/mastering steps</w:t>
            </w:r>
          </w:p>
        </w:tc>
        <w:tc>
          <w:tcPr>
            <w:tcW w:type="dxa" w:w="2051"/>
            <w:tcMar>
              <w:top w:w="80" w:type="dxa"/>
              <w:start w:w="90" w:type="dxa"/>
              <w:bottom w:w="80" w:type="dxa"/>
              <w:end w:w="90" w:type="dxa"/>
            </w:tcMar>
            <w:vAlign w:val="top"/>
          </w:tcPr>
          <w:p>
            <w:r>
              <w:rPr>
                <w:sz w:val="16"/>
              </w:rPr>
              <w:t>US/international</w:t>
            </w:r>
          </w:p>
        </w:tc>
        <w:tc>
          <w:tcPr>
            <w:tcW w:type="dxa" w:w="2051"/>
            <w:tcMar>
              <w:top w:w="80" w:type="dxa"/>
              <w:start w:w="90" w:type="dxa"/>
              <w:bottom w:w="80" w:type="dxa"/>
              <w:end w:w="90" w:type="dxa"/>
            </w:tcMar>
            <w:vAlign w:val="top"/>
          </w:tcPr>
          <w:p>
            <w:r>
              <w:rPr>
                <w:sz w:val="16"/>
              </w:rPr>
              <w:t>fal.ai DPA; SCCs for restricted transfers</w:t>
            </w:r>
          </w:p>
        </w:tc>
        <w:tc>
          <w:tcPr>
            <w:tcW w:type="dxa" w:w="2051"/>
            <w:tcMar>
              <w:top w:w="80" w:type="dxa"/>
              <w:start w:w="90" w:type="dxa"/>
              <w:bottom w:w="80" w:type="dxa"/>
              <w:end w:w="90" w:type="dxa"/>
            </w:tcMar>
            <w:vAlign w:val="top"/>
          </w:tcPr>
          <w:p>
            <w:r>
              <w:rPr>
                <w:sz w:val="16"/>
              </w:rPr>
              <w:t>Approved</w:t>
            </w:r>
          </w:p>
        </w:tc>
      </w:tr>
      <w:tr>
        <w:trPr>
          <w:cantSplit/>
        </w:trPr>
        <w:tc>
          <w:tcPr>
            <w:tcW w:type="dxa" w:w="2051"/>
            <w:tcMar>
              <w:top w:w="80" w:type="dxa"/>
              <w:start w:w="90" w:type="dxa"/>
              <w:bottom w:w="80" w:type="dxa"/>
              <w:end w:w="90" w:type="dxa"/>
            </w:tcMar>
            <w:vAlign w:val="top"/>
          </w:tcPr>
          <w:p>
            <w:r>
              <w:rPr>
                <w:sz w:val="16"/>
              </w:rPr>
              <w:t>CloudConvert</w:t>
            </w:r>
          </w:p>
        </w:tc>
        <w:tc>
          <w:tcPr>
            <w:tcW w:type="dxa" w:w="2051"/>
            <w:tcMar>
              <w:top w:w="80" w:type="dxa"/>
              <w:start w:w="90" w:type="dxa"/>
              <w:bottom w:w="80" w:type="dxa"/>
              <w:end w:w="90" w:type="dxa"/>
            </w:tcMar>
            <w:vAlign w:val="top"/>
          </w:tcPr>
          <w:p>
            <w:r>
              <w:rPr>
                <w:sz w:val="16"/>
              </w:rPr>
              <w:t>Audio/file conversion and selected mastering/M4B steps</w:t>
            </w:r>
          </w:p>
        </w:tc>
        <w:tc>
          <w:tcPr>
            <w:tcW w:type="dxa" w:w="2051"/>
            <w:tcMar>
              <w:top w:w="80" w:type="dxa"/>
              <w:start w:w="90" w:type="dxa"/>
              <w:bottom w:w="80" w:type="dxa"/>
              <w:end w:w="90" w:type="dxa"/>
            </w:tcMar>
            <w:vAlign w:val="top"/>
          </w:tcPr>
          <w:p>
            <w:r>
              <w:rPr>
                <w:sz w:val="16"/>
              </w:rPr>
              <w:t>EU according to provider</w:t>
            </w:r>
          </w:p>
        </w:tc>
        <w:tc>
          <w:tcPr>
            <w:tcW w:type="dxa" w:w="2051"/>
            <w:tcMar>
              <w:top w:w="80" w:type="dxa"/>
              <w:start w:w="90" w:type="dxa"/>
              <w:bottom w:w="80" w:type="dxa"/>
              <w:end w:w="90" w:type="dxa"/>
            </w:tcMar>
            <w:vAlign w:val="top"/>
          </w:tcPr>
          <w:p>
            <w:r>
              <w:rPr>
                <w:sz w:val="16"/>
              </w:rPr>
              <w:t>DPA/contractual privacy terms to be archived</w:t>
            </w:r>
          </w:p>
        </w:tc>
        <w:tc>
          <w:tcPr>
            <w:tcW w:type="dxa" w:w="2051"/>
            <w:tcMar>
              <w:top w:w="80" w:type="dxa"/>
              <w:start w:w="90" w:type="dxa"/>
              <w:bottom w:w="80" w:type="dxa"/>
              <w:end w:w="90" w:type="dxa"/>
            </w:tcMar>
            <w:vAlign w:val="top"/>
          </w:tcPr>
          <w:p>
            <w:r>
              <w:rPr>
                <w:sz w:val="16"/>
              </w:rPr>
              <w:t>Only while DPA chain is active</w:t>
            </w:r>
          </w:p>
        </w:tc>
      </w:tr>
      <w:tr>
        <w:trPr>
          <w:cantSplit/>
        </w:trPr>
        <w:tc>
          <w:tcPr>
            <w:tcW w:type="dxa" w:w="2051"/>
            <w:tcMar>
              <w:top w:w="80" w:type="dxa"/>
              <w:start w:w="90" w:type="dxa"/>
              <w:bottom w:w="80" w:type="dxa"/>
              <w:end w:w="90" w:type="dxa"/>
            </w:tcMar>
            <w:vAlign w:val="top"/>
          </w:tcPr>
          <w:p>
            <w:r>
              <w:rPr>
                <w:sz w:val="16"/>
              </w:rPr>
              <w:t>xAI / SpaceXAI</w:t>
            </w:r>
          </w:p>
        </w:tc>
        <w:tc>
          <w:tcPr>
            <w:tcW w:type="dxa" w:w="2051"/>
            <w:tcMar>
              <w:top w:w="80" w:type="dxa"/>
              <w:start w:w="90" w:type="dxa"/>
              <w:bottom w:w="80" w:type="dxa"/>
              <w:end w:w="90" w:type="dxa"/>
            </w:tcMar>
            <w:vAlign w:val="top"/>
          </w:tcPr>
          <w:p>
            <w:r>
              <w:rPr>
                <w:sz w:val="16"/>
              </w:rPr>
              <w:t>Text-to-speech when selected</w:t>
            </w:r>
          </w:p>
        </w:tc>
        <w:tc>
          <w:tcPr>
            <w:tcW w:type="dxa" w:w="2051"/>
            <w:tcMar>
              <w:top w:w="80" w:type="dxa"/>
              <w:start w:w="90" w:type="dxa"/>
              <w:bottom w:w="80" w:type="dxa"/>
              <w:end w:w="90" w:type="dxa"/>
            </w:tcMar>
            <w:vAlign w:val="top"/>
          </w:tcPr>
          <w:p>
            <w:r>
              <w:rPr>
                <w:sz w:val="16"/>
              </w:rPr>
              <w:t>US/international</w:t>
            </w:r>
          </w:p>
        </w:tc>
        <w:tc>
          <w:tcPr>
            <w:tcW w:type="dxa" w:w="2051"/>
            <w:tcMar>
              <w:top w:w="80" w:type="dxa"/>
              <w:start w:w="90" w:type="dxa"/>
              <w:bottom w:w="80" w:type="dxa"/>
              <w:end w:w="90" w:type="dxa"/>
            </w:tcMar>
            <w:vAlign w:val="top"/>
          </w:tcPr>
          <w:p>
            <w:r>
              <w:rPr>
                <w:sz w:val="16"/>
              </w:rPr>
              <w:t>Only approved for Processor Data where the used API/account is documented as DPA/ZDR-qualified</w:t>
            </w:r>
          </w:p>
        </w:tc>
        <w:tc>
          <w:tcPr>
            <w:tcW w:type="dxa" w:w="2051"/>
            <w:tcMar>
              <w:top w:w="80" w:type="dxa"/>
              <w:start w:w="90" w:type="dxa"/>
              <w:bottom w:w="80" w:type="dxa"/>
              <w:end w:w="90" w:type="dxa"/>
            </w:tcMar>
            <w:vAlign w:val="top"/>
          </w:tcPr>
          <w:p>
            <w:r>
              <w:rPr>
                <w:sz w:val="16"/>
              </w:rPr>
              <w:t>Conditional</w:t>
            </w:r>
          </w:p>
        </w:tc>
      </w:tr>
    </w:tbl>
    <w:tbl>
      <w:tblPr>
        <w:tblW w:type="auto" w:w="0"/>
        <w:tblLook w:firstColumn="1" w:firstRow="1" w:lastColumn="0" w:lastRow="0" w:noHBand="0" w:noVBand="1" w:val="04A0"/>
      </w:tblPr>
      <w:tblGrid>
        <w:gridCol w:w="10256"/>
      </w:tblGrid>
      <w:tr>
        <w:trPr>
          <w:cantSplit/>
        </w:trPr>
        <w:tc>
          <w:tcPr>
            <w:tcW w:type="dxa" w:w="10256"/>
            <w:shd w:fill="FCE4D6"/>
            <w:tcMar>
              <w:top w:w="130" w:type="dxa"/>
              <w:start w:w="150" w:type="dxa"/>
              <w:bottom w:w="130" w:type="dxa"/>
              <w:end w:w="150" w:type="dxa"/>
            </w:tcMar>
          </w:tcPr>
          <w:p>
            <w:r>
              <w:rPr>
                <w:b/>
                <w:color w:val="503C00"/>
                <w:sz w:val="20"/>
              </w:rPr>
              <w:t>Not approved for personal Processor Data</w:t>
              <w:br/>
            </w:r>
            <w:r>
              <w:rPr>
                <w:sz w:val="18"/>
              </w:rPr>
              <w:t>Stability AI / Stable Audio is not listed as an Article 28 sub-processor for personal Customer Content until an appropriate processor/DPA setup is documented. Music prompts should therefore not contain personal data.</w:t>
            </w:r>
          </w:p>
        </w:tc>
      </w:tr>
    </w:tbl>
    <w:p>
      <w:pPr>
        <w:spacing w:after="20"/>
      </w:pPr>
    </w:p>
    <w:p>
      <w:pPr>
        <w:pStyle w:val="Heading1"/>
      </w:pPr>
      <w:r>
        <w:t>Annex 4 · Feature-specific retention/deletion summary</w:t>
      </w:r>
    </w:p>
    <w:tbl>
      <w:tblPr>
        <w:tblW w:type="auto" w:w="0"/>
        <w:jc w:val="center"/>
        <w:tblLayout w:type="fixed"/>
        <w:tblLook w:firstColumn="1" w:firstRow="1" w:lastColumn="0" w:lastRow="0" w:noHBand="0" w:noVBand="1" w:val="04A0"/>
      </w:tblPr>
      <w:tblGrid>
        <w:gridCol w:w="5128"/>
        <w:gridCol w:w="5128"/>
      </w:tblGrid>
      <w:tr>
        <w:trPr>
          <w:tblHeader w:val="true"/>
          <w:cantSplit/>
        </w:trPr>
        <w:tc>
          <w:tcPr>
            <w:tcW w:type="dxa" w:w="5128"/>
            <w:shd w:fill="17365D"/>
            <w:tcMar>
              <w:top w:w="80" w:type="dxa"/>
              <w:start w:w="90" w:type="dxa"/>
              <w:bottom w:w="80" w:type="dxa"/>
              <w:end w:w="90" w:type="dxa"/>
            </w:tcMar>
          </w:tcPr>
          <w:p>
            <w:r>
              <w:rPr>
                <w:b/>
                <w:color w:val="FFFFFF"/>
                <w:sz w:val="17"/>
              </w:rPr>
              <w:t>Area</w:t>
            </w:r>
          </w:p>
        </w:tc>
        <w:tc>
          <w:tcPr>
            <w:tcW w:type="dxa" w:w="5128"/>
            <w:shd w:fill="17365D"/>
            <w:tcMar>
              <w:top w:w="80" w:type="dxa"/>
              <w:start w:w="90" w:type="dxa"/>
              <w:bottom w:w="80" w:type="dxa"/>
              <w:end w:w="90" w:type="dxa"/>
            </w:tcMar>
          </w:tcPr>
          <w:p>
            <w:r>
              <w:rPr>
                <w:b/>
                <w:color w:val="FFFFFF"/>
                <w:sz w:val="17"/>
              </w:rPr>
              <w:t>Rule</w:t>
            </w:r>
          </w:p>
        </w:tc>
      </w:tr>
      <w:tr>
        <w:trPr>
          <w:cantSplit/>
        </w:trPr>
        <w:tc>
          <w:tcPr>
            <w:tcW w:type="dxa" w:w="5128"/>
            <w:tcMar>
              <w:top w:w="80" w:type="dxa"/>
              <w:start w:w="90" w:type="dxa"/>
              <w:bottom w:w="80" w:type="dxa"/>
              <w:end w:w="90" w:type="dxa"/>
            </w:tcMar>
            <w:vAlign w:val="top"/>
          </w:tcPr>
          <w:p>
            <w:r>
              <w:rPr>
                <w:sz w:val="16"/>
              </w:rPr>
              <w:t>Browser-local format/export tools</w:t>
            </w:r>
          </w:p>
        </w:tc>
        <w:tc>
          <w:tcPr>
            <w:tcW w:type="dxa" w:w="5128"/>
            <w:tcMar>
              <w:top w:w="80" w:type="dxa"/>
              <w:start w:w="90" w:type="dxa"/>
              <w:bottom w:w="80" w:type="dxa"/>
              <w:end w:w="90" w:type="dxa"/>
            </w:tcMar>
            <w:vAlign w:val="top"/>
          </w:tcPr>
          <w:p>
            <w:r>
              <w:rPr>
                <w:sz w:val="16"/>
              </w:rPr>
              <w:t>Original files remain browser-local where described; only required metadata/structure information is processed server-side.</w:t>
            </w:r>
          </w:p>
        </w:tc>
      </w:tr>
      <w:tr>
        <w:trPr>
          <w:cantSplit/>
        </w:trPr>
        <w:tc>
          <w:tcPr>
            <w:tcW w:type="dxa" w:w="5128"/>
            <w:tcMar>
              <w:top w:w="80" w:type="dxa"/>
              <w:start w:w="90" w:type="dxa"/>
              <w:bottom w:w="80" w:type="dxa"/>
              <w:end w:w="90" w:type="dxa"/>
            </w:tcMar>
            <w:vAlign w:val="top"/>
          </w:tcPr>
          <w:p>
            <w:r>
              <w:rPr>
                <w:sz w:val="16"/>
              </w:rPr>
              <w:t>Standard AI analyses</w:t>
            </w:r>
          </w:p>
        </w:tc>
        <w:tc>
          <w:tcPr>
            <w:tcW w:type="dxa" w:w="5128"/>
            <w:tcMar>
              <w:top w:w="80" w:type="dxa"/>
              <w:start w:w="90" w:type="dxa"/>
              <w:bottom w:w="80" w:type="dxa"/>
              <w:end w:w="90" w:type="dxa"/>
            </w:tcMar>
            <w:vAlign w:val="top"/>
          </w:tcPr>
          <w:p>
            <w:r>
              <w:rPr>
                <w:sz w:val="16"/>
              </w:rPr>
              <w:t>Original manuscript is generally not stored as a persistent workspace file; stored results/Book DNA remain until project/account deletion.</w:t>
            </w:r>
          </w:p>
        </w:tc>
      </w:tr>
      <w:tr>
        <w:trPr>
          <w:cantSplit/>
        </w:trPr>
        <w:tc>
          <w:tcPr>
            <w:tcW w:type="dxa" w:w="5128"/>
            <w:tcMar>
              <w:top w:w="80" w:type="dxa"/>
              <w:start w:w="90" w:type="dxa"/>
              <w:bottom w:w="80" w:type="dxa"/>
              <w:end w:w="90" w:type="dxa"/>
            </w:tcMar>
            <w:vAlign w:val="top"/>
          </w:tcPr>
          <w:p>
            <w:r>
              <w:rPr>
                <w:sz w:val="16"/>
              </w:rPr>
              <w:t>Reader Quiz</w:t>
            </w:r>
          </w:p>
        </w:tc>
        <w:tc>
          <w:tcPr>
            <w:tcW w:type="dxa" w:w="5128"/>
            <w:tcMar>
              <w:top w:w="80" w:type="dxa"/>
              <w:start w:w="90" w:type="dxa"/>
              <w:bottom w:w="80" w:type="dxa"/>
              <w:end w:w="90" w:type="dxa"/>
            </w:tcMar>
            <w:vAlign w:val="top"/>
          </w:tcPr>
          <w:p>
            <w:r>
              <w:rPr>
                <w:sz w:val="16"/>
              </w:rPr>
              <w:t>Source manuscript text is not stored in the quiz record; quiz content, metadata and source hash are stored. Public plays do not trigger another AI call.</w:t>
            </w:r>
          </w:p>
        </w:tc>
      </w:tr>
      <w:tr>
        <w:trPr>
          <w:cantSplit/>
        </w:trPr>
        <w:tc>
          <w:tcPr>
            <w:tcW w:type="dxa" w:w="5128"/>
            <w:tcMar>
              <w:top w:w="80" w:type="dxa"/>
              <w:start w:w="90" w:type="dxa"/>
              <w:bottom w:w="80" w:type="dxa"/>
              <w:end w:w="90" w:type="dxa"/>
            </w:tcMar>
            <w:vAlign w:val="top"/>
          </w:tcPr>
          <w:p>
            <w:r>
              <w:rPr>
                <w:sz w:val="16"/>
              </w:rPr>
              <w:t>Trailer Audio</w:t>
            </w:r>
          </w:p>
        </w:tc>
        <w:tc>
          <w:tcPr>
            <w:tcW w:type="dxa" w:w="5128"/>
            <w:tcMar>
              <w:top w:w="80" w:type="dxa"/>
              <w:start w:w="90" w:type="dxa"/>
              <w:bottom w:w="80" w:type="dxa"/>
              <w:end w:w="90" w:type="dxa"/>
            </w:tcMar>
            <w:vAlign w:val="top"/>
          </w:tcPr>
          <w:p>
            <w:r>
              <w:rPr>
                <w:sz w:val="16"/>
              </w:rPr>
              <w:t>Temporary private safeguard normally up to 7 days; technical evidence/billing metadata as required.</w:t>
            </w:r>
          </w:p>
        </w:tc>
      </w:tr>
      <w:tr>
        <w:trPr>
          <w:cantSplit/>
        </w:trPr>
        <w:tc>
          <w:tcPr>
            <w:tcW w:type="dxa" w:w="5128"/>
            <w:tcMar>
              <w:top w:w="80" w:type="dxa"/>
              <w:start w:w="90" w:type="dxa"/>
              <w:bottom w:w="80" w:type="dxa"/>
              <w:end w:w="90" w:type="dxa"/>
            </w:tcMar>
            <w:vAlign w:val="top"/>
          </w:tcPr>
          <w:p>
            <w:r>
              <w:rPr>
                <w:sz w:val="16"/>
              </w:rPr>
              <w:t>Book-to-Audiobook</w:t>
            </w:r>
          </w:p>
        </w:tc>
        <w:tc>
          <w:tcPr>
            <w:tcW w:type="dxa" w:w="5128"/>
            <w:tcMar>
              <w:top w:w="80" w:type="dxa"/>
              <w:start w:w="90" w:type="dxa"/>
              <w:bottom w:w="80" w:type="dxa"/>
              <w:end w:w="90" w:type="dxa"/>
            </w:tcMar>
            <w:vAlign w:val="top"/>
          </w:tcPr>
          <w:p>
            <w:r>
              <w:rPr>
                <w:sz w:val="16"/>
              </w:rPr>
              <w:t>Normalised chapter text, blueprint, cast/pronunciation and private masters remain project-based until audiobook project deletion or mandatory retention.</w:t>
            </w:r>
          </w:p>
        </w:tc>
      </w:tr>
      <w:tr>
        <w:trPr>
          <w:cantSplit/>
        </w:trPr>
        <w:tc>
          <w:tcPr>
            <w:tcW w:type="dxa" w:w="5128"/>
            <w:tcMar>
              <w:top w:w="80" w:type="dxa"/>
              <w:start w:w="90" w:type="dxa"/>
              <w:bottom w:w="80" w:type="dxa"/>
              <w:end w:w="90" w:type="dxa"/>
            </w:tcMar>
            <w:vAlign w:val="top"/>
          </w:tcPr>
          <w:p>
            <w:r>
              <w:rPr>
                <w:sz w:val="16"/>
              </w:rPr>
              <w:t>BookCast</w:t>
            </w:r>
          </w:p>
        </w:tc>
        <w:tc>
          <w:tcPr>
            <w:tcW w:type="dxa" w:w="5128"/>
            <w:tcMar>
              <w:top w:w="80" w:type="dxa"/>
              <w:start w:w="90" w:type="dxa"/>
              <w:bottom w:w="80" w:type="dxa"/>
              <w:end w:w="90" w:type="dxa"/>
            </w:tcMar>
            <w:vAlign w:val="top"/>
          </w:tcPr>
          <w:p>
            <w:r>
              <w:rPr>
                <w:sz w:val="16"/>
              </w:rPr>
              <w:t>Project/script/master data remain until project/account deletion; temporary segments are removed after successful mastering where implemented.</w:t>
            </w:r>
          </w:p>
        </w:tc>
      </w:tr>
      <w:tr>
        <w:trPr>
          <w:cantSplit/>
        </w:trPr>
        <w:tc>
          <w:tcPr>
            <w:tcW w:type="dxa" w:w="5128"/>
            <w:tcMar>
              <w:top w:w="80" w:type="dxa"/>
              <w:start w:w="90" w:type="dxa"/>
              <w:bottom w:w="80" w:type="dxa"/>
              <w:end w:w="90" w:type="dxa"/>
            </w:tcMar>
            <w:vAlign w:val="top"/>
          </w:tcPr>
          <w:p>
            <w:r>
              <w:rPr>
                <w:sz w:val="16"/>
              </w:rPr>
              <w:t>Provider/backup copies</w:t>
            </w:r>
          </w:p>
        </w:tc>
        <w:tc>
          <w:tcPr>
            <w:tcW w:type="dxa" w:w="5128"/>
            <w:tcMar>
              <w:top w:w="80" w:type="dxa"/>
              <w:start w:w="90" w:type="dxa"/>
              <w:bottom w:w="80" w:type="dxa"/>
              <w:end w:w="90" w:type="dxa"/>
            </w:tcMar>
            <w:vAlign w:val="top"/>
          </w:tcPr>
          <w:p>
            <w:r>
              <w:rPr>
                <w:sz w:val="16"/>
              </w:rPr>
              <w:t>According to applicable DPA/provider retention and backup cycles; HSP does not actively repurpose them.</w:t>
            </w:r>
          </w:p>
        </w:tc>
      </w:tr>
    </w:tbl>
    <w:p>
      <w:pPr>
        <w:pStyle w:val="Heading1"/>
      </w:pPr>
      <w:r>
        <w:t>Legal references</w:t>
      </w:r>
    </w:p>
    <w:p>
      <w:hyperlink r:id="rId10">
        <w:r>
          <w:rPr>
            <w:color w:val="1F4E79"/>
            <w:u w:val="single"/>
          </w:rPr>
          <w:t>Austrian Data Protection Authority – processor obligations</w:t>
        </w:r>
      </w:hyperlink>
    </w:p>
    <w:p>
      <w:hyperlink r:id="rId11">
        <w:r>
          <w:rPr>
            <w:color w:val="1F4E79"/>
            <w:u w:val="single"/>
          </w:rPr>
          <w:t>Austrian DPA – transfers and SCCs</w:t>
        </w:r>
      </w:hyperlink>
    </w:p>
    <w:p>
      <w:hyperlink r:id="rId12">
        <w:r>
          <w:rPr>
            <w:color w:val="1F4E79"/>
            <w:u w:val="single"/>
          </w:rPr>
          <w:t>European Commission – controller/processor SCCs</w:t>
        </w:r>
      </w:hyperlink>
    </w:p>
    <w:sectPr w:rsidR="00FC693F" w:rsidRPr="0006063C" w:rsidSect="00034616">
      <w:footerReference w:type="default" r:id="rId9"/>
      <w:pgSz w:w="12240" w:h="15840"/>
      <w:pgMar w:top="879" w:right="992" w:bottom="822"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HSP Author Studio · Data Processing Agreement · Version 1.0 · 2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365F9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sb.gv.at/rechte-pflichten/ihre-pflichten-als-auftragsverarbeiterin" TargetMode="External"/><Relationship Id="rId11" Type="http://schemas.openxmlformats.org/officeDocument/2006/relationships/hyperlink" Target="https://dsb.gv.at/faqs/verpflichtungen-fuer-unternehmen" TargetMode="External"/><Relationship Id="rId12" Type="http://schemas.openxmlformats.org/officeDocument/2006/relationships/hyperlink" Target="https://commission.europa.eu/publications/standard-contractual-clauses-controllers-and-processors-euee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