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40"/>
        <w:jc w:val="center"/>
      </w:pPr>
      <w:r>
        <w:rPr>
          <w:b/>
          <w:color w:val="1F4E79"/>
          <w:sz w:val="24"/>
        </w:rPr>
        <w:t>HSP AUTHOR STUDIO</w:t>
      </w:r>
    </w:p>
    <w:p>
      <w:pPr>
        <w:jc w:val="center"/>
      </w:pPr>
      <w:r>
        <w:rPr>
          <w:b/>
          <w:color w:val="17365D"/>
          <w:sz w:val="48"/>
        </w:rPr>
        <w:t>Auftragsverarbeitungs-</w:t>
        <w:br/>
        <w:t>vereinbarung</w:t>
      </w:r>
    </w:p>
    <w:p>
      <w:pPr>
        <w:jc w:val="center"/>
      </w:pPr>
      <w:r>
        <w:rPr>
          <w:color w:val="5A5A5A"/>
          <w:sz w:val="28"/>
        </w:rPr>
        <w:t>gemäß Art. 28 DSGVO</w:t>
      </w:r>
    </w:p>
    <w:p>
      <w:pPr>
        <w:spacing w:before="360"/>
        <w:jc w:val="center"/>
      </w:pPr>
      <w:r>
        <w:rPr>
          <w:color w:val="646464"/>
          <w:sz w:val="20"/>
        </w:rPr>
        <w:t>Version 1.0 · 02. Oktober 2026</w:t>
      </w:r>
    </w:p>
    <w:tbl>
      <w:tblPr>
        <w:tblW w:type="auto" w:w="0"/>
        <w:tblLook w:firstColumn="1" w:firstRow="1" w:lastColumn="0" w:lastRow="0" w:noHBand="0" w:noVBand="1" w:val="04A0"/>
      </w:tblPr>
      <w:tblGrid>
        <w:gridCol w:w="10256"/>
      </w:tblGrid>
      <w:tr>
        <w:trPr>
          <w:cantSplit/>
        </w:trPr>
        <w:tc>
          <w:tcPr>
            <w:tcW w:type="dxa" w:w="10256"/>
            <w:shd w:fill="E2F0D9"/>
            <w:tcMar>
              <w:top w:w="130" w:type="dxa"/>
              <w:start w:w="150" w:type="dxa"/>
              <w:bottom w:w="130" w:type="dxa"/>
              <w:end w:w="150" w:type="dxa"/>
            </w:tcMar>
          </w:tcPr>
          <w:p>
            <w:r>
              <w:rPr>
                <w:b/>
                <w:color w:val="503C00"/>
                <w:sz w:val="20"/>
              </w:rPr>
              <w:t>Dokumentzweck</w:t>
              <w:br/>
            </w:r>
            <w:r>
              <w:rPr>
                <w:sz w:val="18"/>
              </w:rPr>
              <w:t>Vertragsvorlage für Business-Kunden, die HSP Author Studio als Auftragsverarbeiter für personenbezogene Daten in Kundeninhalten einsetzen. Die deutsche Fassung ist die maßgebliche Vertragsfassung. Vor produktivem Einsatz sollte eine österreichische Datenschutz-/Rechtsfachperson die konkrete Vertrags- und Providerkonstellation prüfen.</w:t>
            </w:r>
          </w:p>
        </w:tc>
      </w:tr>
    </w:tbl>
    <w:p>
      <w:pPr>
        <w:spacing w:after="20"/>
      </w:pPr>
    </w:p>
    <w:p>
      <w:r>
        <w:br w:type="page"/>
      </w:r>
    </w:p>
    <w:p>
      <w:pPr>
        <w:pStyle w:val="Heading1"/>
      </w:pPr>
      <w:r>
        <w:t>Vertragsparteien</w:t>
      </w:r>
    </w:p>
    <w:tbl>
      <w:tblPr>
        <w:tblW w:type="auto" w:w="0"/>
        <w:jc w:val="center"/>
        <w:tblLayout w:type="fixed"/>
        <w:tblLook w:firstColumn="1" w:firstRow="1" w:lastColumn="0" w:lastRow="0" w:noHBand="0" w:noVBand="1" w:val="04A0"/>
      </w:tblPr>
      <w:tblGrid>
        <w:gridCol w:w="5128"/>
        <w:gridCol w:w="5128"/>
      </w:tblGrid>
      <w:tr>
        <w:trPr>
          <w:cantSplit/>
        </w:trPr>
        <w:tc>
          <w:tcPr>
            <w:tcW w:type="dxa" w:w="2551"/>
            <w:shd w:fill="EAF0F6"/>
            <w:tcMar>
              <w:top w:w="80" w:type="dxa"/>
              <w:start w:w="90" w:type="dxa"/>
              <w:bottom w:w="80" w:type="dxa"/>
              <w:end w:w="90" w:type="dxa"/>
            </w:tcMar>
            <w:vAlign w:val="top"/>
          </w:tcPr>
          <w:p>
            <w:r>
              <w:rPr>
                <w:b/>
                <w:color w:val="1F4E79"/>
                <w:sz w:val="18"/>
              </w:rPr>
              <w:t>Verantwortlicher / Kunde</w:t>
            </w:r>
          </w:p>
        </w:tc>
        <w:tc>
          <w:tcPr>
            <w:tcW w:type="dxa" w:w="6463"/>
            <w:tcMar>
              <w:top w:w="80" w:type="dxa"/>
              <w:start w:w="90" w:type="dxa"/>
              <w:bottom w:w="80" w:type="dxa"/>
              <w:end w:w="90" w:type="dxa"/>
            </w:tcMar>
            <w:vAlign w:val="top"/>
          </w:tcPr>
          <w:p>
            <w:r>
              <w:rPr>
                <w:sz w:val="18"/>
              </w:rPr>
              <w:t>[Firma / Name]</w:t>
              <w:br/>
              <w:t>[Anschrift]</w:t>
              <w:br/>
              <w:t>[E-Mail]</w:t>
              <w:br/>
              <w:t>– nachfolgend „Kunde“ –</w:t>
            </w:r>
          </w:p>
        </w:tc>
      </w:tr>
      <w:tr>
        <w:trPr>
          <w:cantSplit/>
        </w:trPr>
        <w:tc>
          <w:tcPr>
            <w:tcW w:type="dxa" w:w="2551"/>
            <w:shd w:fill="EAF0F6"/>
            <w:tcMar>
              <w:top w:w="80" w:type="dxa"/>
              <w:start w:w="90" w:type="dxa"/>
              <w:bottom w:w="80" w:type="dxa"/>
              <w:end w:w="90" w:type="dxa"/>
            </w:tcMar>
            <w:vAlign w:val="top"/>
          </w:tcPr>
          <w:p>
            <w:r>
              <w:rPr>
                <w:b/>
                <w:color w:val="1F4E79"/>
                <w:sz w:val="18"/>
              </w:rPr>
              <w:t>Auftragsverarbeiter</w:t>
            </w:r>
          </w:p>
        </w:tc>
        <w:tc>
          <w:tcPr>
            <w:tcW w:type="dxa" w:w="6463"/>
            <w:tcMar>
              <w:top w:w="80" w:type="dxa"/>
              <w:start w:w="90" w:type="dxa"/>
              <w:bottom w:w="80" w:type="dxa"/>
              <w:end w:w="90" w:type="dxa"/>
            </w:tcMar>
            <w:vAlign w:val="top"/>
          </w:tcPr>
          <w:p>
            <w:r>
              <w:rPr>
                <w:sz w:val="18"/>
              </w:rPr>
              <w:t>HSP Content Production</w:t>
              <w:br/>
              <w:t>Inhaber: Heinz Siegfried Pestner</w:t>
              <w:br/>
              <w:t>8181 Dörfl an der Raab 101, Österreich</w:t>
              <w:br/>
              <w:t>E-Mail: iac@gmx.at</w:t>
              <w:br/>
              <w:t>– nachfolgend „HSP“ –</w:t>
            </w:r>
          </w:p>
        </w:tc>
      </w:tr>
      <w:tr>
        <w:trPr>
          <w:cantSplit/>
        </w:trPr>
        <w:tc>
          <w:tcPr>
            <w:tcW w:type="dxa" w:w="2551"/>
            <w:shd w:fill="EAF0F6"/>
            <w:tcMar>
              <w:top w:w="80" w:type="dxa"/>
              <w:start w:w="90" w:type="dxa"/>
              <w:bottom w:w="80" w:type="dxa"/>
              <w:end w:w="90" w:type="dxa"/>
            </w:tcMar>
            <w:vAlign w:val="top"/>
          </w:tcPr>
          <w:p>
            <w:r>
              <w:rPr>
                <w:b/>
                <w:color w:val="1F4E79"/>
                <w:sz w:val="18"/>
              </w:rPr>
              <w:t>Hauptvertrag</w:t>
            </w:r>
          </w:p>
        </w:tc>
        <w:tc>
          <w:tcPr>
            <w:tcW w:type="dxa" w:w="6463"/>
            <w:tcMar>
              <w:top w:w="80" w:type="dxa"/>
              <w:start w:w="90" w:type="dxa"/>
              <w:bottom w:w="80" w:type="dxa"/>
              <w:end w:w="90" w:type="dxa"/>
            </w:tcMar>
            <w:vAlign w:val="top"/>
          </w:tcPr>
          <w:p>
            <w:r>
              <w:rPr>
                <w:sz w:val="18"/>
              </w:rPr>
              <w:t>Nutzungsvertrag/Abonnement über HSP Author Studio bzw. gesonderte Bestellung.</w:t>
            </w:r>
          </w:p>
        </w:tc>
      </w:tr>
      <w:tr>
        <w:trPr>
          <w:cantSplit/>
        </w:trPr>
        <w:tc>
          <w:tcPr>
            <w:tcW w:type="dxa" w:w="2551"/>
            <w:shd w:fill="EAF0F6"/>
            <w:tcMar>
              <w:top w:w="80" w:type="dxa"/>
              <w:start w:w="90" w:type="dxa"/>
              <w:bottom w:w="80" w:type="dxa"/>
              <w:end w:w="90" w:type="dxa"/>
            </w:tcMar>
            <w:vAlign w:val="top"/>
          </w:tcPr>
          <w:p>
            <w:r>
              <w:rPr>
                <w:b/>
                <w:color w:val="1F4E79"/>
                <w:sz w:val="18"/>
              </w:rPr>
              <w:t>AVV-Version</w:t>
            </w:r>
          </w:p>
        </w:tc>
        <w:tc>
          <w:tcPr>
            <w:tcW w:type="dxa" w:w="6463"/>
            <w:tcMar>
              <w:top w:w="80" w:type="dxa"/>
              <w:start w:w="90" w:type="dxa"/>
              <w:bottom w:w="80" w:type="dxa"/>
              <w:end w:w="90" w:type="dxa"/>
            </w:tcMar>
            <w:vAlign w:val="top"/>
          </w:tcPr>
          <w:p>
            <w:r>
              <w:rPr>
                <w:sz w:val="18"/>
              </w:rPr>
              <w:t>1.0 · 02.10.2026</w:t>
            </w:r>
          </w:p>
        </w:tc>
      </w:tr>
    </w:tbl>
    <w:p>
      <w:pPr>
        <w:pStyle w:val="Heading1"/>
      </w:pPr>
      <w:r>
        <w:t>1. Gegenstand, Geltungsbereich und Rangfolge</w:t>
      </w:r>
    </w:p>
    <w:p>
      <w:r>
        <w:t>Dieser AVV regelt die Verarbeitung personenbezogener Daten durch HSP im Auftrag des Kunden gemäß Art. 28 DSGVO, soweit der Kunde als Verantwortlicher handelt und über HSP Author Studio personenbezogene Daten in Kundeninhalten verarbeiten lässt.</w:t>
      </w:r>
    </w:p>
    <w:p>
      <w:r>
        <w:t>Der AVV gilt nur für die Auftragsverarbeitung von Kundeninhalten. Für Kontoverwaltung, Vertragsabwicklung, Billing, Credits, Betrugs-/Missbrauchsprävention, IT-Sicherheit, eigene Compliance- und Nachweispflichten handelt HSP grundsätzlich als eigener Verantwortlicher; diese Verarbeitungen sind in der Datenschutzerklärung beschrieben.</w:t>
      </w:r>
    </w:p>
    <w:p>
      <w:r>
        <w:t>Bei Widersprüchen gehen zwingende Datenschutzvorschriften diesem AVV vor. Für Fragen der Auftragsverarbeitung geht dieser AVV dem Hauptvertrag vor; im Übrigen bleibt der Hauptvertrag unberührt.</w:t>
      </w:r>
    </w:p>
    <w:p>
      <w:pPr>
        <w:pStyle w:val="Heading1"/>
      </w:pPr>
      <w:r>
        <w:t>2. Weisungen und Zweckbindung</w:t>
      </w:r>
    </w:p>
    <w:p>
      <w:r>
        <w:t>HSP verarbeitet Auftragsdaten nur auf dokumentierte Weisung des Kunden. Als dokumentierte Weisungen gelten insbesondere die vom Kunden im Benutzerkonto vorgenommenen Tool-Auswahlen, Uploads, Einstellungen, Löschbefehle und sonstigen Bedienhandlungen sowie schriftliche Support-/Administrationsanweisungen.</w:t>
      </w:r>
    </w:p>
    <w:p>
      <w:r>
        <w:t>HSP verarbeitet Auftragsdaten nicht für eigene Werbe-, Profiling- oder Trainingszwecke. Soweit ein Unterauftragsverarbeiter eine eigenständige Verarbeitung außerhalb der Weisungskette vorsieht, wird diese Verarbeitung nicht als Auftragsverarbeitung unter diesem AVV behandelt und darf für Auftragsdaten nur genutzt werden, wenn eine geeignete Rechtsgrundlage/Rollenverteilung besteht.</w:t>
      </w:r>
    </w:p>
    <w:p>
      <w:r>
        <w:t>Ist HSP der Ansicht, dass eine Weisung gegen Datenschutzrecht verstößt, informiert HSP den Kunden ohne unangemessene Verzögerung und kann die betreffende Weisung bis zur Klärung aussetzen.</w:t>
      </w:r>
    </w:p>
    <w:p>
      <w:pPr>
        <w:pStyle w:val="Heading1"/>
      </w:pPr>
      <w:r>
        <w:t>3. Vertraulichkeit und befugte Personen</w:t>
      </w:r>
    </w:p>
    <w:p>
      <w:r>
        <w:t>HSP stellt sicher, dass Personen mit Zugang zu Auftragsdaten zur Vertraulichkeit verpflichtet sind oder einer angemessenen gesetzlichen Verschwiegenheitspflicht unterliegen und nur im erforderlichen Umfang Zugriff erhalten.</w:t>
      </w:r>
    </w:p>
    <w:p>
      <w:pPr>
        <w:pStyle w:val="Heading1"/>
      </w:pPr>
      <w:r>
        <w:t>4. Technische und organisatorische Maßnahmen</w:t>
      </w:r>
    </w:p>
    <w:p>
      <w:r>
        <w:t>HSP trifft angemessene technische und organisatorische Maßnahmen gemäß Art. 32 DSGVO. Die aktuell zugesagten Maßnahmen sind in Anlage 2 beschrieben. HSP darf Maßnahmen im Zuge technischer Weiterentwicklung ändern, sofern das vereinbarte Schutzniveau insgesamt nicht unterschritten wird.</w:t>
      </w:r>
    </w:p>
    <w:p>
      <w:pPr>
        <w:pStyle w:val="Heading1"/>
      </w:pPr>
      <w:r>
        <w:t>5. Unterauftragsverarbeiter</w:t>
      </w:r>
    </w:p>
    <w:p>
      <w:r>
        <w:t>Der Kunde erteilt HSP eine allgemeine Genehmigung zur Beauftragung der in Anlage 3 genannten Unterauftragsverarbeiter.</w:t>
      </w:r>
    </w:p>
    <w:p>
      <w:r>
        <w:t>HSP informiert über wesentliche neue Unterauftragsverarbeiter grundsätzlich über die öffentliche AVV-/Subprozessorseite und – soweit technisch und organisatorisch angemessen – zusätzlich elektronisch. Der Kunde kann innerhalb von 14 Tagen aus nachvollziehbaren datenschutzrechtlichen Gründen widersprechen.</w:t>
      </w:r>
    </w:p>
    <w:p>
      <w:r>
        <w:t>HSP verpflichtet Unterauftragsverarbeiter vertraglich zu Datenschutzpflichten, die den Pflichten dieses AVV inhaltlich entsprechen, soweit Art. 28 DSGVO anwendbar ist. HSP bleibt gegenüber dem Kunden für die Erfüllung der Pflichten des Unterauftragsverarbeiters verantwortlich.</w:t>
      </w:r>
    </w:p>
    <w:p>
      <w:pPr>
        <w:pStyle w:val="Heading1"/>
      </w:pPr>
      <w:r>
        <w:t>6. Drittlandübermittlungen</w:t>
      </w:r>
    </w:p>
    <w:p>
      <w:r>
        <w:t>Soweit Auftragsdaten in ein Drittland übermittelt werden, stellt HSP sicher, dass die Voraussetzungen des Kapitels V DSGVO erfüllt sind, insbesondere durch Angemessenheitsbeschlüsse oder geeignete Garantien wie Standardvertragsklauseln. Bei Übermittlungen von HSP als Auftragsverarbeiter an einen Unterauftragsverarbeiter außerhalb des EWR werden – soweit erforderlich – die einschlägigen SCC-Module und ergänzenden Maßnahmen verwendet.</w:t>
      </w:r>
    </w:p>
    <w:p>
      <w:pPr>
        <w:pStyle w:val="Heading1"/>
      </w:pPr>
      <w:r>
        <w:t>7. Unterstützung bei Betroffenenrechten</w:t>
      </w:r>
    </w:p>
    <w:p>
      <w:r>
        <w:t>HSP unterstützt den Kunden unter Berücksichtigung der Art der Verarbeitung durch geeignete technische und organisatorische Maßnahmen dabei, Anträge betroffener Personen nach Kapitel III DSGVO zu erfüllen. Geht ein Antrag unmittelbar bei HSP ein und betrifft er Auftragsdaten, leitet HSP ihn grundsätzlich an den Kunden weiter, sofern HSP nicht gesetzlich selbst zur Bearbeitung verpflichtet ist.</w:t>
      </w:r>
    </w:p>
    <w:p>
      <w:pPr>
        <w:pStyle w:val="Heading1"/>
      </w:pPr>
      <w:r>
        <w:t>8. Datenschutzverletzungen</w:t>
      </w:r>
    </w:p>
    <w:p>
      <w:r>
        <w:t>HSP informiert den Kunden über eine Verletzung des Schutzes personenbezogener Auftragsdaten ohne unangemessene Verzögerung nach Bekanntwerden. Soweit Informationen verfügbar sind, enthält die Mitteilung insbesondere Art und Umfang des Vorfalls, betroffene Daten-/Personenkategorien, wahrscheinliche Folgen, bereits getroffene oder vorgeschlagene Maßnahmen und eine Kontaktstelle. HSP unterstützt den Kunden bei Art.-33-/34-Pflichten.</w:t>
      </w:r>
    </w:p>
    <w:p>
      <w:pPr>
        <w:pStyle w:val="Heading1"/>
      </w:pPr>
      <w:r>
        <w:t>9. DSFA, vorherige Konsultation und Compliance-Unterstützung</w:t>
      </w:r>
    </w:p>
    <w:p>
      <w:r>
        <w:t>HSP unterstützt den Kunden unter Berücksichtigung der Art der Verarbeitung und der HSP verfügbaren Informationen angemessen bei Datenschutz-Folgenabschätzungen und einer etwa erforderlichen vorherigen Konsultation der Aufsichtsbehörde.</w:t>
      </w:r>
    </w:p>
    <w:p>
      <w:pPr>
        <w:pStyle w:val="Heading1"/>
      </w:pPr>
      <w:r>
        <w:t>10. Nachweise und Audits</w:t>
      </w:r>
    </w:p>
    <w:p>
      <w:r>
        <w:t>HSP stellt dem Kunden die für den Nachweis der Einhaltung von Art. 28 DSGVO erforderlichen Informationen in angemessenem Umfang zur Verfügung. Vorrangig werden vorhandene Dokumentationen, TOMs, Provider-DPAs, Prüfberichte oder vergleichbare Nachweise verwendet.</w:t>
      </w:r>
    </w:p>
    <w:p>
      <w:r>
        <w:t>Soweit diese Nachweise nicht ausreichen, kann der Kunde grundsätzlich einmal pro 12 Monate sowie zusätzlich bei einem begründeten Sicherheits-/Compliance-Anlass eine angemessene Prüfung verlangen. Prüfungen sind mit angemessener Vorankündigung, während üblicher Geschäftszeiten und so durchzuführen, dass Sicherheit, Vertraulichkeit anderer Kunden und Betriebsabläufe nicht unangemessen beeinträchtigt werden.</w:t>
      </w:r>
    </w:p>
    <w:p>
      <w:r>
        <w:t>Unverhältnismäßige externe Auditkosten trägt der Kunde, sofern der Audit keine wesentliche Vertrags-/Datenschutzverletzung durch HSP feststellt.</w:t>
      </w:r>
    </w:p>
    <w:p>
      <w:pPr>
        <w:pStyle w:val="Heading1"/>
      </w:pPr>
      <w:r>
        <w:t>11. Rückgabe und Löschung</w:t>
      </w:r>
    </w:p>
    <w:p>
      <w:r>
        <w:t>Der Kunde kann Auftragsdaten im Rahmen der bereitgestellten Export-/Downloadfunktionen zurückerhalten. Nach Beendigung der Auftragsverarbeitung löscht HSP auf dokumentierte Weisung die verbleibenden Auftragsdaten, soweit keine gesetzliche Aufbewahrungspflicht entgegensteht.</w:t>
      </w:r>
    </w:p>
    <w:p>
      <w:r>
        <w:t>Technische Sicherungskopien und Provider-Backups können bis zum regulären Überschreib-/Auslaufzyklus verbleiben; sie dürfen in dieser Zeit nicht für andere Zwecke aktiv verarbeitet werden. Funktionsspezifische Löschregeln ergeben sich ergänzend aus Anlage 4 und der Datenschutzerklärung.</w:t>
      </w:r>
    </w:p>
    <w:p>
      <w:pPr>
        <w:pStyle w:val="Heading1"/>
      </w:pPr>
      <w:r>
        <w:t>12. Pflichten des Kunden</w:t>
      </w:r>
    </w:p>
    <w:p>
      <w:r>
        <w:t>Der Kunde ist für Rechtmäßigkeit, Transparenz, Datenminimierung und die erforderlichen Rechte/Einwilligungen für die in HSP Author Studio eingebrachten personenbezogenen Daten verantwortlich.</w:t>
      </w:r>
    </w:p>
    <w:p>
      <w:r>
        <w:t>Besondere Kategorien personenbezogener Daten nach Art. 9 DSGVO, strafrechtliche Daten nach Art. 10 DSGVO sowie personenbezogene Daten von Kindern sollen nicht in HSP Author Studio verarbeitet werden, sofern dies nicht vorher ausdrücklich vereinbart, rechtlich zulässig und technisch freigegeben wurde.</w:t>
      </w:r>
    </w:p>
    <w:p>
      <w:r>
        <w:t>Der Kunde darf personenbezogene Daten nur an Funktionen/Provider übermitteln, die in der aktuellen AVV-/Subprozessorinformation hierfür freigegeben sind.</w:t>
      </w:r>
    </w:p>
    <w:p>
      <w:pPr>
        <w:pStyle w:val="Heading1"/>
      </w:pPr>
      <w:r>
        <w:t>13. Laufzeit und Beendigung</w:t>
      </w:r>
    </w:p>
    <w:p>
      <w:r>
        <w:t>Dieser AVV gilt ab Unterzeichnung bzw. gesonderter elektronischer Vereinbarung und für die Dauer der jeweiligen Auftragsverarbeitung. Datenschutz-, Vertraulichkeits-, Lösch- und Nachweispflichten wirken fort, soweit dies ihrer Natur nach erforderlich ist.</w:t>
      </w:r>
    </w:p>
    <w:p>
      <w:pPr>
        <w:pStyle w:val="Heading1"/>
      </w:pPr>
      <w:r>
        <w:t>14. Schlussbestimmungen</w:t>
      </w:r>
    </w:p>
    <w:p>
      <w:r>
        <w:t>Im Übrigen gelten die Regelungen des Hauptvertrags. Zwingende Betroffenenrechte und aufsichtsbehördliche Befugnisse bleiben unberührt. Änderungen dieses AVV bedürfen einer dokumentierbaren Form. Es gilt österreichisches Recht, soweit dem kein zwingendes Datenschutz- oder sonstiges Recht entgegensteht.</w:t>
      </w:r>
    </w:p>
    <w:p>
      <w:pPr>
        <w:pStyle w:val="Heading1"/>
      </w:pPr>
      <w:r>
        <w:t>Unterschriften</w:t>
      </w:r>
    </w:p>
    <w:tbl>
      <w:tblPr>
        <w:tblW w:type="auto" w:w="0"/>
        <w:jc w:val="center"/>
        <w:tblLayout w:type="fixed"/>
        <w:tblLook w:firstColumn="1" w:firstRow="1" w:lastColumn="0" w:lastRow="0" w:noHBand="0" w:noVBand="1" w:val="04A0"/>
      </w:tblPr>
      <w:tblGrid>
        <w:gridCol w:w="5128"/>
        <w:gridCol w:w="5128"/>
      </w:tblGrid>
      <w:tr>
        <w:trPr>
          <w:tblHeader w:val="true"/>
          <w:cantSplit/>
        </w:trPr>
        <w:tc>
          <w:tcPr>
            <w:tcW w:type="dxa" w:w="5128"/>
            <w:shd w:fill="17365D"/>
            <w:tcMar>
              <w:top w:w="80" w:type="dxa"/>
              <w:start w:w="90" w:type="dxa"/>
              <w:bottom w:w="80" w:type="dxa"/>
              <w:end w:w="90" w:type="dxa"/>
            </w:tcMar>
          </w:tcPr>
          <w:p>
            <w:r>
              <w:rPr>
                <w:b/>
                <w:color w:val="FFFFFF"/>
                <w:sz w:val="17"/>
              </w:rPr>
              <w:t>Kunde / Verantwortlicher</w:t>
            </w:r>
          </w:p>
        </w:tc>
        <w:tc>
          <w:tcPr>
            <w:tcW w:type="dxa" w:w="5128"/>
            <w:shd w:fill="17365D"/>
            <w:tcMar>
              <w:top w:w="80" w:type="dxa"/>
              <w:start w:w="90" w:type="dxa"/>
              <w:bottom w:w="80" w:type="dxa"/>
              <w:end w:w="90" w:type="dxa"/>
            </w:tcMar>
          </w:tcPr>
          <w:p>
            <w:r>
              <w:rPr>
                <w:b/>
                <w:color w:val="FFFFFF"/>
                <w:sz w:val="17"/>
              </w:rPr>
              <w:t>HSP Content Production / Auftragsverarbeiter</w:t>
            </w:r>
          </w:p>
        </w:tc>
      </w:tr>
      <w:tr>
        <w:trPr>
          <w:cantSplit/>
        </w:trPr>
        <w:tc>
          <w:tcPr>
            <w:tcW w:type="dxa" w:w="5128"/>
            <w:tcMar>
              <w:top w:w="80" w:type="dxa"/>
              <w:start w:w="90" w:type="dxa"/>
              <w:bottom w:w="80" w:type="dxa"/>
              <w:end w:w="90" w:type="dxa"/>
            </w:tcMar>
            <w:vAlign w:val="top"/>
          </w:tcPr>
          <w:p>
            <w:r>
              <w:rPr>
                <w:sz w:val="16"/>
              </w:rPr>
              <w:t>Ort/Datum: ____________________</w:t>
              <w:br/>
              <w:t>Name/Funktion: ____________________</w:t>
              <w:br/>
              <w:t>Unterschrift: ____________________</w:t>
            </w:r>
          </w:p>
        </w:tc>
        <w:tc>
          <w:tcPr>
            <w:tcW w:type="dxa" w:w="5128"/>
            <w:tcMar>
              <w:top w:w="80" w:type="dxa"/>
              <w:start w:w="90" w:type="dxa"/>
              <w:bottom w:w="80" w:type="dxa"/>
              <w:end w:w="90" w:type="dxa"/>
            </w:tcMar>
            <w:vAlign w:val="top"/>
          </w:tcPr>
          <w:p>
            <w:r>
              <w:rPr>
                <w:sz w:val="16"/>
              </w:rPr>
              <w:t>Ort/Datum: ____________________</w:t>
              <w:br/>
              <w:t>Heinz Siegfried Pestner</w:t>
              <w:br/>
              <w:t>Unterschrift: ____________________</w:t>
            </w:r>
          </w:p>
        </w:tc>
      </w:tr>
    </w:tbl>
    <w:p>
      <w:r>
        <w:br w:type="page"/>
      </w:r>
    </w:p>
    <w:p>
      <w:pPr>
        <w:pStyle w:val="Heading1"/>
      </w:pPr>
      <w:r>
        <w:t>Anlage 1 · Beschreibung der Auftragsverarbeitung</w:t>
      </w:r>
    </w:p>
    <w:tbl>
      <w:tblPr>
        <w:tblW w:type="auto" w:w="0"/>
        <w:jc w:val="center"/>
        <w:tblLayout w:type="fixed"/>
        <w:tblLook w:firstColumn="1" w:firstRow="1" w:lastColumn="0" w:lastRow="0" w:noHBand="0" w:noVBand="1" w:val="04A0"/>
      </w:tblPr>
      <w:tblGrid>
        <w:gridCol w:w="5128"/>
        <w:gridCol w:w="5128"/>
      </w:tblGrid>
      <w:tr>
        <w:trPr>
          <w:cantSplit/>
        </w:trPr>
        <w:tc>
          <w:tcPr>
            <w:tcW w:type="dxa" w:w="2551"/>
            <w:shd w:fill="EAF0F6"/>
            <w:tcMar>
              <w:top w:w="80" w:type="dxa"/>
              <w:start w:w="90" w:type="dxa"/>
              <w:bottom w:w="80" w:type="dxa"/>
              <w:end w:w="90" w:type="dxa"/>
            </w:tcMar>
            <w:vAlign w:val="top"/>
          </w:tcPr>
          <w:p>
            <w:r>
              <w:rPr>
                <w:b/>
                <w:color w:val="1F4E79"/>
                <w:sz w:val="18"/>
              </w:rPr>
              <w:t>Gegenstand</w:t>
            </w:r>
          </w:p>
        </w:tc>
        <w:tc>
          <w:tcPr>
            <w:tcW w:type="dxa" w:w="6463"/>
            <w:tcMar>
              <w:top w:w="80" w:type="dxa"/>
              <w:start w:w="90" w:type="dxa"/>
              <w:bottom w:w="80" w:type="dxa"/>
              <w:end w:w="90" w:type="dxa"/>
            </w:tcMar>
            <w:vAlign w:val="top"/>
          </w:tcPr>
          <w:p>
            <w:r>
              <w:rPr>
                <w:sz w:val="18"/>
              </w:rPr>
              <w:t>Bereitstellung der vom Kunden ausgewählten HSP-Author-Studio-Tools für Kundeninhalte, soweit diese personenbezogene Daten enthalten.</w:t>
            </w:r>
          </w:p>
        </w:tc>
      </w:tr>
      <w:tr>
        <w:trPr>
          <w:cantSplit/>
        </w:trPr>
        <w:tc>
          <w:tcPr>
            <w:tcW w:type="dxa" w:w="2551"/>
            <w:shd w:fill="EAF0F6"/>
            <w:tcMar>
              <w:top w:w="80" w:type="dxa"/>
              <w:start w:w="90" w:type="dxa"/>
              <w:bottom w:w="80" w:type="dxa"/>
              <w:end w:w="90" w:type="dxa"/>
            </w:tcMar>
            <w:vAlign w:val="top"/>
          </w:tcPr>
          <w:p>
            <w:r>
              <w:rPr>
                <w:b/>
                <w:color w:val="1F4E79"/>
                <w:sz w:val="18"/>
              </w:rPr>
              <w:t>Dauer</w:t>
            </w:r>
          </w:p>
        </w:tc>
        <w:tc>
          <w:tcPr>
            <w:tcW w:type="dxa" w:w="6463"/>
            <w:tcMar>
              <w:top w:w="80" w:type="dxa"/>
              <w:start w:w="90" w:type="dxa"/>
              <w:bottom w:w="80" w:type="dxa"/>
              <w:end w:w="90" w:type="dxa"/>
            </w:tcMar>
            <w:vAlign w:val="top"/>
          </w:tcPr>
          <w:p>
            <w:r>
              <w:rPr>
                <w:sz w:val="18"/>
              </w:rPr>
              <w:t>Dauer der Nutzung/des jeweiligen Projekts zuzüglich technisch notwendiger Lösch-/Backup-Ausläufe und gesetzlich erforderlicher Nachweise.</w:t>
            </w:r>
          </w:p>
        </w:tc>
      </w:tr>
      <w:tr>
        <w:trPr>
          <w:cantSplit/>
        </w:trPr>
        <w:tc>
          <w:tcPr>
            <w:tcW w:type="dxa" w:w="2551"/>
            <w:shd w:fill="EAF0F6"/>
            <w:tcMar>
              <w:top w:w="80" w:type="dxa"/>
              <w:start w:w="90" w:type="dxa"/>
              <w:bottom w:w="80" w:type="dxa"/>
              <w:end w:w="90" w:type="dxa"/>
            </w:tcMar>
            <w:vAlign w:val="top"/>
          </w:tcPr>
          <w:p>
            <w:r>
              <w:rPr>
                <w:b/>
                <w:color w:val="1F4E79"/>
                <w:sz w:val="18"/>
              </w:rPr>
              <w:t>Art der Verarbeitung</w:t>
            </w:r>
          </w:p>
        </w:tc>
        <w:tc>
          <w:tcPr>
            <w:tcW w:type="dxa" w:w="6463"/>
            <w:tcMar>
              <w:top w:w="80" w:type="dxa"/>
              <w:start w:w="90" w:type="dxa"/>
              <w:bottom w:w="80" w:type="dxa"/>
              <w:end w:w="90" w:type="dxa"/>
            </w:tcMar>
            <w:vAlign w:val="top"/>
          </w:tcPr>
          <w:p>
            <w:r>
              <w:rPr>
                <w:sz w:val="18"/>
              </w:rPr>
              <w:t>Erheben/Entgegennehmen, Übermitteln, Speichern (funktionsabhängig), Strukturieren, Analysieren, Generieren, Klassifizieren, Transformieren, Konvertieren, Bereitstellen, Löschen.</w:t>
            </w:r>
          </w:p>
        </w:tc>
      </w:tr>
      <w:tr>
        <w:trPr>
          <w:cantSplit/>
        </w:trPr>
        <w:tc>
          <w:tcPr>
            <w:tcW w:type="dxa" w:w="2551"/>
            <w:shd w:fill="EAF0F6"/>
            <w:tcMar>
              <w:top w:w="80" w:type="dxa"/>
              <w:start w:w="90" w:type="dxa"/>
              <w:bottom w:w="80" w:type="dxa"/>
              <w:end w:w="90" w:type="dxa"/>
            </w:tcMar>
            <w:vAlign w:val="top"/>
          </w:tcPr>
          <w:p>
            <w:r>
              <w:rPr>
                <w:b/>
                <w:color w:val="1F4E79"/>
                <w:sz w:val="18"/>
              </w:rPr>
              <w:t>Zwecke</w:t>
            </w:r>
          </w:p>
        </w:tc>
        <w:tc>
          <w:tcPr>
            <w:tcW w:type="dxa" w:w="6463"/>
            <w:tcMar>
              <w:top w:w="80" w:type="dxa"/>
              <w:start w:w="90" w:type="dxa"/>
              <w:bottom w:w="80" w:type="dxa"/>
              <w:end w:w="90" w:type="dxa"/>
            </w:tcMar>
            <w:vAlign w:val="top"/>
          </w:tcPr>
          <w:p>
            <w:r>
              <w:rPr>
                <w:sz w:val="18"/>
              </w:rPr>
              <w:t>Ausschließlich Ausführung der vom Kunden aktiv ausgewählten Self-Service-Tools: Text-/Buchanalyse, Generierung, Cover/Visuals, Trailer, Audiobook, BookCast, Screenplay, Market Intelligence, Publishing-/Workspace-Funktionen und technische Export-/Mastering-Schritte.</w:t>
            </w:r>
          </w:p>
        </w:tc>
      </w:tr>
      <w:tr>
        <w:trPr>
          <w:cantSplit/>
        </w:trPr>
        <w:tc>
          <w:tcPr>
            <w:tcW w:type="dxa" w:w="2551"/>
            <w:shd w:fill="EAF0F6"/>
            <w:tcMar>
              <w:top w:w="80" w:type="dxa"/>
              <w:start w:w="90" w:type="dxa"/>
              <w:bottom w:w="80" w:type="dxa"/>
              <w:end w:w="90" w:type="dxa"/>
            </w:tcMar>
            <w:vAlign w:val="top"/>
          </w:tcPr>
          <w:p>
            <w:r>
              <w:rPr>
                <w:b/>
                <w:color w:val="1F4E79"/>
                <w:sz w:val="18"/>
              </w:rPr>
              <w:t>Betroffene Personen</w:t>
            </w:r>
          </w:p>
        </w:tc>
        <w:tc>
          <w:tcPr>
            <w:tcW w:type="dxa" w:w="6463"/>
            <w:tcMar>
              <w:top w:w="80" w:type="dxa"/>
              <w:start w:w="90" w:type="dxa"/>
              <w:bottom w:w="80" w:type="dxa"/>
              <w:end w:w="90" w:type="dxa"/>
            </w:tcMar>
            <w:vAlign w:val="top"/>
          </w:tcPr>
          <w:p>
            <w:r>
              <w:rPr>
                <w:sz w:val="18"/>
              </w:rPr>
              <w:t>Kunde und dessen Beschäftigte/Mitwirkende; Autor:innen; reale Personen, die in Manuskripten/Metadaten/Referenzmaterial vorkommen; ggf. Rechteinhaber, Sprecher/Modelle oder sonstige vom Kunden eingebrachte Personen.</w:t>
            </w:r>
          </w:p>
        </w:tc>
      </w:tr>
      <w:tr>
        <w:trPr>
          <w:cantSplit/>
        </w:trPr>
        <w:tc>
          <w:tcPr>
            <w:tcW w:type="dxa" w:w="2551"/>
            <w:shd w:fill="EAF0F6"/>
            <w:tcMar>
              <w:top w:w="80" w:type="dxa"/>
              <w:start w:w="90" w:type="dxa"/>
              <w:bottom w:w="80" w:type="dxa"/>
              <w:end w:w="90" w:type="dxa"/>
            </w:tcMar>
            <w:vAlign w:val="top"/>
          </w:tcPr>
          <w:p>
            <w:r>
              <w:rPr>
                <w:b/>
                <w:color w:val="1F4E79"/>
                <w:sz w:val="18"/>
              </w:rPr>
              <w:t>Datenkategorien</w:t>
            </w:r>
          </w:p>
        </w:tc>
        <w:tc>
          <w:tcPr>
            <w:tcW w:type="dxa" w:w="6463"/>
            <w:tcMar>
              <w:top w:w="80" w:type="dxa"/>
              <w:start w:w="90" w:type="dxa"/>
              <w:bottom w:w="80" w:type="dxa"/>
              <w:end w:w="90" w:type="dxa"/>
            </w:tcMar>
            <w:vAlign w:val="top"/>
          </w:tcPr>
          <w:p>
            <w:r>
              <w:rPr>
                <w:sz w:val="18"/>
              </w:rPr>
              <w:t>Namen/Kontaktdaten, Autoren-/Projektangaben, Manuskript-/Textinhalte, Bilder/Referenzmaterial, Sprach-/Ausspracheangaben, Buch-/Metadaten, generierte Ergebnisse, projektbezogene technische Metadaten.</w:t>
            </w:r>
          </w:p>
        </w:tc>
      </w:tr>
      <w:tr>
        <w:trPr>
          <w:cantSplit/>
        </w:trPr>
        <w:tc>
          <w:tcPr>
            <w:tcW w:type="dxa" w:w="2551"/>
            <w:shd w:fill="EAF0F6"/>
            <w:tcMar>
              <w:top w:w="80" w:type="dxa"/>
              <w:start w:w="90" w:type="dxa"/>
              <w:bottom w:w="80" w:type="dxa"/>
              <w:end w:w="90" w:type="dxa"/>
            </w:tcMar>
            <w:vAlign w:val="top"/>
          </w:tcPr>
          <w:p>
            <w:r>
              <w:rPr>
                <w:b/>
                <w:color w:val="1F4E79"/>
                <w:sz w:val="18"/>
              </w:rPr>
              <w:t>Besondere Kategorien</w:t>
            </w:r>
          </w:p>
        </w:tc>
        <w:tc>
          <w:tcPr>
            <w:tcW w:type="dxa" w:w="6463"/>
            <w:tcMar>
              <w:top w:w="80" w:type="dxa"/>
              <w:start w:w="90" w:type="dxa"/>
              <w:bottom w:w="80" w:type="dxa"/>
              <w:end w:w="90" w:type="dxa"/>
            </w:tcMar>
            <w:vAlign w:val="top"/>
          </w:tcPr>
          <w:p>
            <w:r>
              <w:rPr>
                <w:sz w:val="18"/>
              </w:rPr>
              <w:t>Nicht bestimmungsgemäß vorgesehen. Verarbeitung nur nach vorheriger ausdrücklicher Vereinbarung und rechtlicher/technischer Freigabe.</w:t>
            </w:r>
          </w:p>
        </w:tc>
      </w:tr>
      <w:tr>
        <w:trPr>
          <w:cantSplit/>
        </w:trPr>
        <w:tc>
          <w:tcPr>
            <w:tcW w:type="dxa" w:w="2551"/>
            <w:shd w:fill="EAF0F6"/>
            <w:tcMar>
              <w:top w:w="80" w:type="dxa"/>
              <w:start w:w="90" w:type="dxa"/>
              <w:bottom w:w="80" w:type="dxa"/>
              <w:end w:w="90" w:type="dxa"/>
            </w:tcMar>
            <w:vAlign w:val="top"/>
          </w:tcPr>
          <w:p>
            <w:r>
              <w:rPr>
                <w:b/>
                <w:color w:val="1F4E79"/>
                <w:sz w:val="18"/>
              </w:rPr>
              <w:t>Weisungswege</w:t>
            </w:r>
          </w:p>
        </w:tc>
        <w:tc>
          <w:tcPr>
            <w:tcW w:type="dxa" w:w="6463"/>
            <w:tcMar>
              <w:top w:w="80" w:type="dxa"/>
              <w:start w:w="90" w:type="dxa"/>
              <w:bottom w:w="80" w:type="dxa"/>
              <w:end w:w="90" w:type="dxa"/>
            </w:tcMar>
            <w:vAlign w:val="top"/>
          </w:tcPr>
          <w:p>
            <w:r>
              <w:rPr>
                <w:sz w:val="18"/>
              </w:rPr>
              <w:t>Bedienhandlungen im Account/Tool, Einstellungen, Uploads, Lösch-/Exportbefehle und dokumentierte Supportanweisungen.</w:t>
            </w:r>
          </w:p>
        </w:tc>
      </w:tr>
    </w:tbl>
    <w:p>
      <w:pPr>
        <w:pStyle w:val="Heading1"/>
      </w:pPr>
      <w:r>
        <w:t>Anlage 2 · Technische und organisatorische Maßnahmen (TOMs)</w:t>
      </w:r>
    </w:p>
    <w:tbl>
      <w:tblPr>
        <w:tblW w:type="auto" w:w="0"/>
        <w:jc w:val="center"/>
        <w:tblLayout w:type="fixed"/>
        <w:tblLook w:firstColumn="1" w:firstRow="1" w:lastColumn="0" w:lastRow="0" w:noHBand="0" w:noVBand="1" w:val="04A0"/>
      </w:tblPr>
      <w:tblGrid>
        <w:gridCol w:w="5128"/>
        <w:gridCol w:w="5128"/>
      </w:tblGrid>
      <w:tr>
        <w:trPr>
          <w:tblHeader w:val="true"/>
          <w:cantSplit/>
        </w:trPr>
        <w:tc>
          <w:tcPr>
            <w:tcW w:type="dxa" w:w="5128"/>
            <w:shd w:fill="17365D"/>
            <w:tcMar>
              <w:top w:w="80" w:type="dxa"/>
              <w:start w:w="90" w:type="dxa"/>
              <w:bottom w:w="80" w:type="dxa"/>
              <w:end w:w="90" w:type="dxa"/>
            </w:tcMar>
          </w:tcPr>
          <w:p>
            <w:r>
              <w:rPr>
                <w:b/>
                <w:color w:val="FFFFFF"/>
                <w:sz w:val="17"/>
              </w:rPr>
              <w:t>Schutzbereich</w:t>
            </w:r>
          </w:p>
        </w:tc>
        <w:tc>
          <w:tcPr>
            <w:tcW w:type="dxa" w:w="5128"/>
            <w:shd w:fill="17365D"/>
            <w:tcMar>
              <w:top w:w="80" w:type="dxa"/>
              <w:start w:w="90" w:type="dxa"/>
              <w:bottom w:w="80" w:type="dxa"/>
              <w:end w:w="90" w:type="dxa"/>
            </w:tcMar>
          </w:tcPr>
          <w:p>
            <w:r>
              <w:rPr>
                <w:b/>
                <w:color w:val="FFFFFF"/>
                <w:sz w:val="17"/>
              </w:rPr>
              <w:t>Maßnahme</w:t>
            </w:r>
          </w:p>
        </w:tc>
      </w:tr>
      <w:tr>
        <w:trPr>
          <w:cantSplit/>
        </w:trPr>
        <w:tc>
          <w:tcPr>
            <w:tcW w:type="dxa" w:w="5128"/>
            <w:tcMar>
              <w:top w:w="80" w:type="dxa"/>
              <w:start w:w="90" w:type="dxa"/>
              <w:bottom w:w="80" w:type="dxa"/>
              <w:end w:w="90" w:type="dxa"/>
            </w:tcMar>
            <w:vAlign w:val="top"/>
          </w:tcPr>
          <w:p>
            <w:r>
              <w:rPr>
                <w:sz w:val="16"/>
              </w:rPr>
              <w:t>Zugangs-/Authentifizierungsschutz</w:t>
            </w:r>
          </w:p>
        </w:tc>
        <w:tc>
          <w:tcPr>
            <w:tcW w:type="dxa" w:w="5128"/>
            <w:tcMar>
              <w:top w:w="80" w:type="dxa"/>
              <w:start w:w="90" w:type="dxa"/>
              <w:bottom w:w="80" w:type="dxa"/>
              <w:end w:w="90" w:type="dxa"/>
            </w:tcMar>
            <w:vAlign w:val="top"/>
          </w:tcPr>
          <w:p>
            <w:r>
              <w:rPr>
                <w:sz w:val="16"/>
              </w:rPr>
              <w:t>Supabase Auth, serverseitige Sessionprüfung bei sensiblen Funktionen, rollenbasierte Admin-/Workspace-Prüfungen.</w:t>
            </w:r>
          </w:p>
        </w:tc>
      </w:tr>
      <w:tr>
        <w:trPr>
          <w:cantSplit/>
        </w:trPr>
        <w:tc>
          <w:tcPr>
            <w:tcW w:type="dxa" w:w="5128"/>
            <w:tcMar>
              <w:top w:w="80" w:type="dxa"/>
              <w:start w:w="90" w:type="dxa"/>
              <w:bottom w:w="80" w:type="dxa"/>
              <w:end w:w="90" w:type="dxa"/>
            </w:tcMar>
            <w:vAlign w:val="top"/>
          </w:tcPr>
          <w:p>
            <w:r>
              <w:rPr>
                <w:sz w:val="16"/>
              </w:rPr>
              <w:t>Berechtigung/Trennung</w:t>
            </w:r>
          </w:p>
        </w:tc>
        <w:tc>
          <w:tcPr>
            <w:tcW w:type="dxa" w:w="5128"/>
            <w:tcMar>
              <w:top w:w="80" w:type="dxa"/>
              <w:start w:w="90" w:type="dxa"/>
              <w:bottom w:w="80" w:type="dxa"/>
              <w:end w:w="90" w:type="dxa"/>
            </w:tcMar>
            <w:vAlign w:val="top"/>
          </w:tcPr>
          <w:p>
            <w:r>
              <w:rPr>
                <w:sz w:val="16"/>
              </w:rPr>
              <w:t>RLS bzw. serverseitige user-/book-/workspacebezogene Zugriffsprüfungen; private Tabellen/Buckets für sensible Projektinhalte.</w:t>
            </w:r>
          </w:p>
        </w:tc>
      </w:tr>
      <w:tr>
        <w:trPr>
          <w:cantSplit/>
        </w:trPr>
        <w:tc>
          <w:tcPr>
            <w:tcW w:type="dxa" w:w="5128"/>
            <w:tcMar>
              <w:top w:w="80" w:type="dxa"/>
              <w:start w:w="90" w:type="dxa"/>
              <w:bottom w:w="80" w:type="dxa"/>
              <w:end w:w="90" w:type="dxa"/>
            </w:tcMar>
            <w:vAlign w:val="top"/>
          </w:tcPr>
          <w:p>
            <w:r>
              <w:rPr>
                <w:sz w:val="16"/>
              </w:rPr>
              <w:t>Transportverschlüsselung</w:t>
            </w:r>
          </w:p>
        </w:tc>
        <w:tc>
          <w:tcPr>
            <w:tcW w:type="dxa" w:w="5128"/>
            <w:tcMar>
              <w:top w:w="80" w:type="dxa"/>
              <w:start w:w="90" w:type="dxa"/>
              <w:bottom w:w="80" w:type="dxa"/>
              <w:end w:w="90" w:type="dxa"/>
            </w:tcMar>
            <w:vAlign w:val="top"/>
          </w:tcPr>
          <w:p>
            <w:r>
              <w:rPr>
                <w:sz w:val="16"/>
              </w:rPr>
              <w:t>HTTPS/TLS für Web-, API- und Providerkommunikation.</w:t>
            </w:r>
          </w:p>
        </w:tc>
      </w:tr>
      <w:tr>
        <w:trPr>
          <w:cantSplit/>
        </w:trPr>
        <w:tc>
          <w:tcPr>
            <w:tcW w:type="dxa" w:w="5128"/>
            <w:tcMar>
              <w:top w:w="80" w:type="dxa"/>
              <w:start w:w="90" w:type="dxa"/>
              <w:bottom w:w="80" w:type="dxa"/>
              <w:end w:w="90" w:type="dxa"/>
            </w:tcMar>
            <w:vAlign w:val="top"/>
          </w:tcPr>
          <w:p>
            <w:r>
              <w:rPr>
                <w:sz w:val="16"/>
              </w:rPr>
              <w:t>Secrets</w:t>
            </w:r>
          </w:p>
        </w:tc>
        <w:tc>
          <w:tcPr>
            <w:tcW w:type="dxa" w:w="5128"/>
            <w:tcMar>
              <w:top w:w="80" w:type="dxa"/>
              <w:start w:w="90" w:type="dxa"/>
              <w:bottom w:w="80" w:type="dxa"/>
              <w:end w:w="90" w:type="dxa"/>
            </w:tcMar>
            <w:vAlign w:val="top"/>
          </w:tcPr>
          <w:p>
            <w:r>
              <w:rPr>
                <w:sz w:val="16"/>
              </w:rPr>
              <w:t>API-Schlüssel/Service-Role-Schlüssel serverseitig; Secret-Scan im Release-Gate; keine Provider-Secrets im öffentlichen Build.</w:t>
            </w:r>
          </w:p>
        </w:tc>
      </w:tr>
      <w:tr>
        <w:trPr>
          <w:cantSplit/>
        </w:trPr>
        <w:tc>
          <w:tcPr>
            <w:tcW w:type="dxa" w:w="5128"/>
            <w:tcMar>
              <w:top w:w="80" w:type="dxa"/>
              <w:start w:w="90" w:type="dxa"/>
              <w:bottom w:w="80" w:type="dxa"/>
              <w:end w:w="90" w:type="dxa"/>
            </w:tcMar>
            <w:vAlign w:val="top"/>
          </w:tcPr>
          <w:p>
            <w:r>
              <w:rPr>
                <w:sz w:val="16"/>
              </w:rPr>
              <w:t>Speicher-/Assetschutz</w:t>
            </w:r>
          </w:p>
        </w:tc>
        <w:tc>
          <w:tcPr>
            <w:tcW w:type="dxa" w:w="5128"/>
            <w:tcMar>
              <w:top w:w="80" w:type="dxa"/>
              <w:start w:w="90" w:type="dxa"/>
              <w:bottom w:w="80" w:type="dxa"/>
              <w:end w:w="90" w:type="dxa"/>
            </w:tcMar>
            <w:vAlign w:val="top"/>
          </w:tcPr>
          <w:p>
            <w:r>
              <w:rPr>
                <w:sz w:val="16"/>
              </w:rPr>
              <w:t>Private Supabase-Buckets und zeitlich begrenzte signierte URLs für geschützte Assets; öffentliche Quizdaten werden auf einen begrenzten Public-Payload reduziert.</w:t>
            </w:r>
          </w:p>
        </w:tc>
      </w:tr>
      <w:tr>
        <w:trPr>
          <w:cantSplit/>
        </w:trPr>
        <w:tc>
          <w:tcPr>
            <w:tcW w:type="dxa" w:w="5128"/>
            <w:tcMar>
              <w:top w:w="80" w:type="dxa"/>
              <w:start w:w="90" w:type="dxa"/>
              <w:bottom w:w="80" w:type="dxa"/>
              <w:end w:w="90" w:type="dxa"/>
            </w:tcMar>
            <w:vAlign w:val="top"/>
          </w:tcPr>
          <w:p>
            <w:r>
              <w:rPr>
                <w:sz w:val="16"/>
              </w:rPr>
              <w:t>Datenminimierung</w:t>
            </w:r>
          </w:p>
        </w:tc>
        <w:tc>
          <w:tcPr>
            <w:tcW w:type="dxa" w:w="5128"/>
            <w:tcMar>
              <w:top w:w="80" w:type="dxa"/>
              <w:start w:w="90" w:type="dxa"/>
              <w:bottom w:w="80" w:type="dxa"/>
              <w:end w:w="90" w:type="dxa"/>
            </w:tcMar>
            <w:vAlign w:val="top"/>
          </w:tcPr>
          <w:p>
            <w:r>
              <w:rPr>
                <w:sz w:val="16"/>
              </w:rPr>
              <w:t>Browserlokale Verarbeitung, wo technisch möglich; begrenzte Auszüge bei langen Manuskripten; funktionsbezogene Providerübermittlung statt pauschaler Vollübertragung.</w:t>
            </w:r>
          </w:p>
        </w:tc>
      </w:tr>
      <w:tr>
        <w:trPr>
          <w:cantSplit/>
        </w:trPr>
        <w:tc>
          <w:tcPr>
            <w:tcW w:type="dxa" w:w="5128"/>
            <w:tcMar>
              <w:top w:w="80" w:type="dxa"/>
              <w:start w:w="90" w:type="dxa"/>
              <w:bottom w:w="80" w:type="dxa"/>
              <w:end w:w="90" w:type="dxa"/>
            </w:tcMar>
            <w:vAlign w:val="top"/>
          </w:tcPr>
          <w:p>
            <w:r>
              <w:rPr>
                <w:sz w:val="16"/>
              </w:rPr>
              <w:t>Integrität/Idempotenz</w:t>
            </w:r>
          </w:p>
        </w:tc>
        <w:tc>
          <w:tcPr>
            <w:tcW w:type="dxa" w:w="5128"/>
            <w:tcMar>
              <w:top w:w="80" w:type="dxa"/>
              <w:start w:w="90" w:type="dxa"/>
              <w:bottom w:w="80" w:type="dxa"/>
              <w:end w:w="90" w:type="dxa"/>
            </w:tcMar>
            <w:vAlign w:val="top"/>
          </w:tcPr>
          <w:p>
            <w:r>
              <w:rPr>
                <w:sz w:val="16"/>
              </w:rPr>
              <w:t>Request-IDs, Hashes, Credit-Reservierungen, serverseitige Job-/Generation-Claims und Versions-/Compare-and-Swap-Prüfungen bei ausgewählten Funktionen.</w:t>
            </w:r>
          </w:p>
        </w:tc>
      </w:tr>
      <w:tr>
        <w:trPr>
          <w:cantSplit/>
        </w:trPr>
        <w:tc>
          <w:tcPr>
            <w:tcW w:type="dxa" w:w="5128"/>
            <w:tcMar>
              <w:top w:w="80" w:type="dxa"/>
              <w:start w:w="90" w:type="dxa"/>
              <w:bottom w:w="80" w:type="dxa"/>
              <w:end w:w="90" w:type="dxa"/>
            </w:tcMar>
            <w:vAlign w:val="top"/>
          </w:tcPr>
          <w:p>
            <w:r>
              <w:rPr>
                <w:sz w:val="16"/>
              </w:rPr>
              <w:t>Rate-/Missbrauchsschutz</w:t>
            </w:r>
          </w:p>
        </w:tc>
        <w:tc>
          <w:tcPr>
            <w:tcW w:type="dxa" w:w="5128"/>
            <w:tcMar>
              <w:top w:w="80" w:type="dxa"/>
              <w:start w:w="90" w:type="dxa"/>
              <w:bottom w:w="80" w:type="dxa"/>
              <w:end w:w="90" w:type="dxa"/>
            </w:tcMar>
            <w:vAlign w:val="top"/>
          </w:tcPr>
          <w:p>
            <w:r>
              <w:rPr>
                <w:sz w:val="16"/>
              </w:rPr>
              <w:t>Rate-Limits, Credits/Plan-Gates, öffentliche Reader-Quiz-Drosselung, Sicherheits-/CSP-Monitoring.</w:t>
            </w:r>
          </w:p>
        </w:tc>
      </w:tr>
      <w:tr>
        <w:trPr>
          <w:cantSplit/>
        </w:trPr>
        <w:tc>
          <w:tcPr>
            <w:tcW w:type="dxa" w:w="5128"/>
            <w:tcMar>
              <w:top w:w="80" w:type="dxa"/>
              <w:start w:w="90" w:type="dxa"/>
              <w:bottom w:w="80" w:type="dxa"/>
              <w:end w:w="90" w:type="dxa"/>
            </w:tcMar>
            <w:vAlign w:val="top"/>
          </w:tcPr>
          <w:p>
            <w:r>
              <w:rPr>
                <w:sz w:val="16"/>
              </w:rPr>
              <w:t>Protokollierung</w:t>
            </w:r>
          </w:p>
        </w:tc>
        <w:tc>
          <w:tcPr>
            <w:tcW w:type="dxa" w:w="5128"/>
            <w:tcMar>
              <w:top w:w="80" w:type="dxa"/>
              <w:start w:w="90" w:type="dxa"/>
              <w:bottom w:w="80" w:type="dxa"/>
              <w:end w:w="90" w:type="dxa"/>
            </w:tcMar>
            <w:vAlign w:val="top"/>
          </w:tcPr>
          <w:p>
            <w:r>
              <w:rPr>
                <w:sz w:val="16"/>
              </w:rPr>
              <w:t>Status-, Abrechnungs-, Sicherheits- und Fehlerereignisse mit Datenminimierung; keine absichtliche Vollinhaltsprotokollierung von Manuskripten.</w:t>
            </w:r>
          </w:p>
        </w:tc>
      </w:tr>
      <w:tr>
        <w:trPr>
          <w:cantSplit/>
        </w:trPr>
        <w:tc>
          <w:tcPr>
            <w:tcW w:type="dxa" w:w="5128"/>
            <w:tcMar>
              <w:top w:w="80" w:type="dxa"/>
              <w:start w:w="90" w:type="dxa"/>
              <w:bottom w:w="80" w:type="dxa"/>
              <w:end w:w="90" w:type="dxa"/>
            </w:tcMar>
            <w:vAlign w:val="top"/>
          </w:tcPr>
          <w:p>
            <w:r>
              <w:rPr>
                <w:sz w:val="16"/>
              </w:rPr>
              <w:t>Verfügbarkeit/Wiederherstellung</w:t>
            </w:r>
          </w:p>
        </w:tc>
        <w:tc>
          <w:tcPr>
            <w:tcW w:type="dxa" w:w="5128"/>
            <w:tcMar>
              <w:top w:w="80" w:type="dxa"/>
              <w:start w:w="90" w:type="dxa"/>
              <w:bottom w:w="80" w:type="dxa"/>
              <w:end w:w="90" w:type="dxa"/>
            </w:tcMar>
            <w:vAlign w:val="top"/>
          </w:tcPr>
          <w:p>
            <w:r>
              <w:rPr>
                <w:sz w:val="16"/>
              </w:rPr>
              <w:t>Verwaltete Supabase-/Providerinfrastruktur, Jobstatus-/Retry-Mechanismen und projektbezogene Recovery-Mechanismen.</w:t>
            </w:r>
          </w:p>
        </w:tc>
      </w:tr>
      <w:tr>
        <w:trPr>
          <w:cantSplit/>
        </w:trPr>
        <w:tc>
          <w:tcPr>
            <w:tcW w:type="dxa" w:w="5128"/>
            <w:tcMar>
              <w:top w:w="80" w:type="dxa"/>
              <w:start w:w="90" w:type="dxa"/>
              <w:bottom w:w="80" w:type="dxa"/>
              <w:end w:w="90" w:type="dxa"/>
            </w:tcMar>
            <w:vAlign w:val="top"/>
          </w:tcPr>
          <w:p>
            <w:r>
              <w:rPr>
                <w:sz w:val="16"/>
              </w:rPr>
              <w:t>Löschung</w:t>
            </w:r>
          </w:p>
        </w:tc>
        <w:tc>
          <w:tcPr>
            <w:tcW w:type="dxa" w:w="5128"/>
            <w:tcMar>
              <w:top w:w="80" w:type="dxa"/>
              <w:start w:w="90" w:type="dxa"/>
              <w:bottom w:w="80" w:type="dxa"/>
              <w:end w:w="90" w:type="dxa"/>
            </w:tcMar>
            <w:vAlign w:val="top"/>
          </w:tcPr>
          <w:p>
            <w:r>
              <w:rPr>
                <w:sz w:val="16"/>
              </w:rPr>
              <w:t>Projekt-/Account-Löschworkflows, automatische/zeitliche Löschung ausgewählter temporärer Assets, Provider-/Backup-Auslauf gemäß dokumentierter Regeln.</w:t>
            </w:r>
          </w:p>
        </w:tc>
      </w:tr>
      <w:tr>
        <w:trPr>
          <w:cantSplit/>
        </w:trPr>
        <w:tc>
          <w:tcPr>
            <w:tcW w:type="dxa" w:w="5128"/>
            <w:tcMar>
              <w:top w:w="80" w:type="dxa"/>
              <w:start w:w="90" w:type="dxa"/>
              <w:bottom w:w="80" w:type="dxa"/>
              <w:end w:w="90" w:type="dxa"/>
            </w:tcMar>
            <w:vAlign w:val="top"/>
          </w:tcPr>
          <w:p>
            <w:r>
              <w:rPr>
                <w:sz w:val="16"/>
              </w:rPr>
              <w:t>Release-Sicherheit</w:t>
            </w:r>
          </w:p>
        </w:tc>
        <w:tc>
          <w:tcPr>
            <w:tcW w:type="dxa" w:w="5128"/>
            <w:tcMar>
              <w:top w:w="80" w:type="dxa"/>
              <w:start w:w="90" w:type="dxa"/>
              <w:bottom w:w="80" w:type="dxa"/>
              <w:end w:w="90" w:type="dxa"/>
            </w:tcMar>
            <w:vAlign w:val="top"/>
          </w:tcPr>
          <w:p>
            <w:r>
              <w:rPr>
                <w:sz w:val="16"/>
              </w:rPr>
              <w:t>Source-Parity-, Schema-Kompatibilitäts-, Syntax-, Secret- und Referenz-Gates vor Releases; bekannte Abweichungen werden als Release-Gates dokumentiert.</w:t>
            </w:r>
          </w:p>
        </w:tc>
      </w:tr>
    </w:tbl>
    <w:p>
      <w:pPr>
        <w:pStyle w:val="Heading1"/>
      </w:pPr>
      <w:r>
        <w:t>Anlage 3 · Genehmigte Unterauftragsverarbeiter</w:t>
      </w:r>
    </w:p>
    <w:p>
      <w:r>
        <w:t>Die Liste bezieht sich auf Provider, die je nach aktiv gewähltem Tool Auftragsdaten erhalten können. Zahlungs-/Commerce-Anbieter, bei denen HSP für eigene Vertrags-/Billingzwecke Verantwortlicher ist, fallen nicht unter diese Liste.</w:t>
      </w:r>
    </w:p>
    <w:tbl>
      <w:tblPr>
        <w:tblW w:type="auto" w:w="0"/>
        <w:jc w:val="center"/>
        <w:tblLayout w:type="fixed"/>
        <w:tblLook w:firstColumn="1" w:firstRow="1" w:lastColumn="0" w:lastRow="0" w:noHBand="0" w:noVBand="1" w:val="04A0"/>
      </w:tblPr>
      <w:tblGrid>
        <w:gridCol w:w="2051"/>
        <w:gridCol w:w="2051"/>
        <w:gridCol w:w="2051"/>
        <w:gridCol w:w="2051"/>
        <w:gridCol w:w="2051"/>
      </w:tblGrid>
      <w:tr>
        <w:trPr>
          <w:tblHeader w:val="true"/>
          <w:cantSplit/>
        </w:trPr>
        <w:tc>
          <w:tcPr>
            <w:tcW w:type="dxa" w:w="2051"/>
            <w:shd w:fill="17365D"/>
            <w:tcMar>
              <w:top w:w="80" w:type="dxa"/>
              <w:start w:w="90" w:type="dxa"/>
              <w:bottom w:w="80" w:type="dxa"/>
              <w:end w:w="90" w:type="dxa"/>
            </w:tcMar>
          </w:tcPr>
          <w:p>
            <w:r>
              <w:rPr>
                <w:b/>
                <w:color w:val="FFFFFF"/>
                <w:sz w:val="16"/>
              </w:rPr>
              <w:t>Subprozessor</w:t>
            </w:r>
          </w:p>
        </w:tc>
        <w:tc>
          <w:tcPr>
            <w:tcW w:type="dxa" w:w="2051"/>
            <w:shd w:fill="17365D"/>
            <w:tcMar>
              <w:top w:w="80" w:type="dxa"/>
              <w:start w:w="90" w:type="dxa"/>
              <w:bottom w:w="80" w:type="dxa"/>
              <w:end w:w="90" w:type="dxa"/>
            </w:tcMar>
          </w:tcPr>
          <w:p>
            <w:r>
              <w:rPr>
                <w:b/>
                <w:color w:val="FFFFFF"/>
                <w:sz w:val="16"/>
              </w:rPr>
              <w:t>Zweck</w:t>
            </w:r>
          </w:p>
        </w:tc>
        <w:tc>
          <w:tcPr>
            <w:tcW w:type="dxa" w:w="2051"/>
            <w:shd w:fill="17365D"/>
            <w:tcMar>
              <w:top w:w="80" w:type="dxa"/>
              <w:start w:w="90" w:type="dxa"/>
              <w:bottom w:w="80" w:type="dxa"/>
              <w:end w:w="90" w:type="dxa"/>
            </w:tcMar>
          </w:tcPr>
          <w:p>
            <w:r>
              <w:rPr>
                <w:b/>
                <w:color w:val="FFFFFF"/>
                <w:sz w:val="16"/>
              </w:rPr>
              <w:t>Ort</w:t>
            </w:r>
          </w:p>
        </w:tc>
        <w:tc>
          <w:tcPr>
            <w:tcW w:type="dxa" w:w="2051"/>
            <w:shd w:fill="17365D"/>
            <w:tcMar>
              <w:top w:w="80" w:type="dxa"/>
              <w:start w:w="90" w:type="dxa"/>
              <w:bottom w:w="80" w:type="dxa"/>
              <w:end w:w="90" w:type="dxa"/>
            </w:tcMar>
          </w:tcPr>
          <w:p>
            <w:r>
              <w:rPr>
                <w:b/>
                <w:color w:val="FFFFFF"/>
                <w:sz w:val="16"/>
              </w:rPr>
              <w:t>Transfer / Mechanismus</w:t>
            </w:r>
          </w:p>
        </w:tc>
        <w:tc>
          <w:tcPr>
            <w:tcW w:type="dxa" w:w="2051"/>
            <w:shd w:fill="17365D"/>
            <w:tcMar>
              <w:top w:w="80" w:type="dxa"/>
              <w:start w:w="90" w:type="dxa"/>
              <w:bottom w:w="80" w:type="dxa"/>
              <w:end w:w="90" w:type="dxa"/>
            </w:tcMar>
          </w:tcPr>
          <w:p>
            <w:r>
              <w:rPr>
                <w:b/>
                <w:color w:val="FFFFFF"/>
                <w:sz w:val="16"/>
              </w:rPr>
              <w:t>Freigabe</w:t>
            </w:r>
          </w:p>
        </w:tc>
      </w:tr>
      <w:tr>
        <w:trPr>
          <w:cantSplit/>
        </w:trPr>
        <w:tc>
          <w:tcPr>
            <w:tcW w:type="dxa" w:w="2051"/>
            <w:tcMar>
              <w:top w:w="80" w:type="dxa"/>
              <w:start w:w="90" w:type="dxa"/>
              <w:bottom w:w="80" w:type="dxa"/>
              <w:end w:w="90" w:type="dxa"/>
            </w:tcMar>
            <w:vAlign w:val="top"/>
          </w:tcPr>
          <w:p>
            <w:r>
              <w:rPr>
                <w:sz w:val="16"/>
              </w:rPr>
              <w:t>Supabase Pte. Ltd.</w:t>
            </w:r>
          </w:p>
        </w:tc>
        <w:tc>
          <w:tcPr>
            <w:tcW w:type="dxa" w:w="2051"/>
            <w:tcMar>
              <w:top w:w="80" w:type="dxa"/>
              <w:start w:w="90" w:type="dxa"/>
              <w:bottom w:w="80" w:type="dxa"/>
              <w:end w:w="90" w:type="dxa"/>
            </w:tcMar>
            <w:vAlign w:val="top"/>
          </w:tcPr>
          <w:p>
            <w:r>
              <w:rPr>
                <w:sz w:val="16"/>
              </w:rPr>
              <w:t>Auth, Datenbank, Storage, Edge Functions</w:t>
            </w:r>
          </w:p>
        </w:tc>
        <w:tc>
          <w:tcPr>
            <w:tcW w:type="dxa" w:w="2051"/>
            <w:tcMar>
              <w:top w:w="80" w:type="dxa"/>
              <w:start w:w="90" w:type="dxa"/>
              <w:bottom w:w="80" w:type="dxa"/>
              <w:end w:w="90" w:type="dxa"/>
            </w:tcMar>
            <w:vAlign w:val="top"/>
          </w:tcPr>
          <w:p>
            <w:r>
              <w:rPr>
                <w:sz w:val="16"/>
              </w:rPr>
              <w:t>Projektregion Frankfurt (DE); Vertrags-/Supportkette ggf. international</w:t>
            </w:r>
          </w:p>
        </w:tc>
        <w:tc>
          <w:tcPr>
            <w:tcW w:type="dxa" w:w="2051"/>
            <w:tcMar>
              <w:top w:w="80" w:type="dxa"/>
              <w:start w:w="90" w:type="dxa"/>
              <w:bottom w:w="80" w:type="dxa"/>
              <w:end w:w="90" w:type="dxa"/>
            </w:tcMar>
            <w:vAlign w:val="top"/>
          </w:tcPr>
          <w:p>
            <w:r>
              <w:rPr>
                <w:sz w:val="16"/>
              </w:rPr>
              <w:t>DPA; bei Restricted Transfers SCCs/geeignete Garantien</w:t>
            </w:r>
          </w:p>
        </w:tc>
        <w:tc>
          <w:tcPr>
            <w:tcW w:type="dxa" w:w="2051"/>
            <w:tcMar>
              <w:top w:w="80" w:type="dxa"/>
              <w:start w:w="90" w:type="dxa"/>
              <w:bottom w:w="80" w:type="dxa"/>
              <w:end w:w="90" w:type="dxa"/>
            </w:tcMar>
            <w:vAlign w:val="top"/>
          </w:tcPr>
          <w:p>
            <w:r>
              <w:rPr>
                <w:sz w:val="16"/>
              </w:rPr>
              <w:t>Ja</w:t>
            </w:r>
          </w:p>
        </w:tc>
      </w:tr>
      <w:tr>
        <w:trPr>
          <w:cantSplit/>
        </w:trPr>
        <w:tc>
          <w:tcPr>
            <w:tcW w:type="dxa" w:w="2051"/>
            <w:tcMar>
              <w:top w:w="80" w:type="dxa"/>
              <w:start w:w="90" w:type="dxa"/>
              <w:bottom w:w="80" w:type="dxa"/>
              <w:end w:w="90" w:type="dxa"/>
            </w:tcMar>
            <w:vAlign w:val="top"/>
          </w:tcPr>
          <w:p>
            <w:r>
              <w:rPr>
                <w:sz w:val="16"/>
              </w:rPr>
              <w:t>OpenAI Ireland Ltd. / OpenAI</w:t>
            </w:r>
          </w:p>
        </w:tc>
        <w:tc>
          <w:tcPr>
            <w:tcW w:type="dxa" w:w="2051"/>
            <w:tcMar>
              <w:top w:w="80" w:type="dxa"/>
              <w:start w:w="90" w:type="dxa"/>
              <w:bottom w:w="80" w:type="dxa"/>
              <w:end w:w="90" w:type="dxa"/>
            </w:tcMar>
            <w:vAlign w:val="top"/>
          </w:tcPr>
          <w:p>
            <w:r>
              <w:rPr>
                <w:sz w:val="16"/>
              </w:rPr>
              <w:t>Text-/Bild-/Analyse-/Web-Search-Funktionen</w:t>
            </w:r>
          </w:p>
        </w:tc>
        <w:tc>
          <w:tcPr>
            <w:tcW w:type="dxa" w:w="2051"/>
            <w:tcMar>
              <w:top w:w="80" w:type="dxa"/>
              <w:start w:w="90" w:type="dxa"/>
              <w:bottom w:w="80" w:type="dxa"/>
              <w:end w:w="90" w:type="dxa"/>
            </w:tcMar>
            <w:vAlign w:val="top"/>
          </w:tcPr>
          <w:p>
            <w:r>
              <w:rPr>
                <w:sz w:val="16"/>
              </w:rPr>
              <w:t>EWR und dokumentierte Onward Transfers</w:t>
            </w:r>
          </w:p>
        </w:tc>
        <w:tc>
          <w:tcPr>
            <w:tcW w:type="dxa" w:w="2051"/>
            <w:tcMar>
              <w:top w:w="80" w:type="dxa"/>
              <w:start w:w="90" w:type="dxa"/>
              <w:bottom w:w="80" w:type="dxa"/>
              <w:end w:w="90" w:type="dxa"/>
            </w:tcMar>
            <w:vAlign w:val="top"/>
          </w:tcPr>
          <w:p>
            <w:r>
              <w:rPr>
                <w:sz w:val="16"/>
              </w:rPr>
              <w:t>OpenAI DPA; SCCs/Angemessenheitsmechanismen</w:t>
            </w:r>
          </w:p>
        </w:tc>
        <w:tc>
          <w:tcPr>
            <w:tcW w:type="dxa" w:w="2051"/>
            <w:tcMar>
              <w:top w:w="80" w:type="dxa"/>
              <w:start w:w="90" w:type="dxa"/>
              <w:bottom w:w="80" w:type="dxa"/>
              <w:end w:w="90" w:type="dxa"/>
            </w:tcMar>
            <w:vAlign w:val="top"/>
          </w:tcPr>
          <w:p>
            <w:r>
              <w:rPr>
                <w:sz w:val="16"/>
              </w:rPr>
              <w:t>Ja</w:t>
            </w:r>
          </w:p>
        </w:tc>
      </w:tr>
      <w:tr>
        <w:trPr>
          <w:cantSplit/>
        </w:trPr>
        <w:tc>
          <w:tcPr>
            <w:tcW w:type="dxa" w:w="2051"/>
            <w:tcMar>
              <w:top w:w="80" w:type="dxa"/>
              <w:start w:w="90" w:type="dxa"/>
              <w:bottom w:w="80" w:type="dxa"/>
              <w:end w:w="90" w:type="dxa"/>
            </w:tcMar>
            <w:vAlign w:val="top"/>
          </w:tcPr>
          <w:p>
            <w:r>
              <w:rPr>
                <w:sz w:val="16"/>
              </w:rPr>
              <w:t>ElevenLabs</w:t>
            </w:r>
          </w:p>
        </w:tc>
        <w:tc>
          <w:tcPr>
            <w:tcW w:type="dxa" w:w="2051"/>
            <w:tcMar>
              <w:top w:w="80" w:type="dxa"/>
              <w:start w:w="90" w:type="dxa"/>
              <w:bottom w:w="80" w:type="dxa"/>
              <w:end w:w="90" w:type="dxa"/>
            </w:tcMar>
            <w:vAlign w:val="top"/>
          </w:tcPr>
          <w:p>
            <w:r>
              <w:rPr>
                <w:sz w:val="16"/>
              </w:rPr>
              <w:t>Text-to-Speech, soweit vom Kunden gewählt</w:t>
            </w:r>
          </w:p>
        </w:tc>
        <w:tc>
          <w:tcPr>
            <w:tcW w:type="dxa" w:w="2051"/>
            <w:tcMar>
              <w:top w:w="80" w:type="dxa"/>
              <w:start w:w="90" w:type="dxa"/>
              <w:bottom w:w="80" w:type="dxa"/>
              <w:end w:w="90" w:type="dxa"/>
            </w:tcMar>
            <w:vAlign w:val="top"/>
          </w:tcPr>
          <w:p>
            <w:r>
              <w:rPr>
                <w:sz w:val="16"/>
              </w:rPr>
              <w:t>Providerabhängig / international</w:t>
            </w:r>
          </w:p>
        </w:tc>
        <w:tc>
          <w:tcPr>
            <w:tcW w:type="dxa" w:w="2051"/>
            <w:tcMar>
              <w:top w:w="80" w:type="dxa"/>
              <w:start w:w="90" w:type="dxa"/>
              <w:bottom w:w="80" w:type="dxa"/>
              <w:end w:w="90" w:type="dxa"/>
            </w:tcMar>
            <w:vAlign w:val="top"/>
          </w:tcPr>
          <w:p>
            <w:r>
              <w:rPr>
                <w:sz w:val="16"/>
              </w:rPr>
              <w:t>ElevenLabs DPA; DPF/SCCs soweit einschlägig</w:t>
            </w:r>
          </w:p>
        </w:tc>
        <w:tc>
          <w:tcPr>
            <w:tcW w:type="dxa" w:w="2051"/>
            <w:tcMar>
              <w:top w:w="80" w:type="dxa"/>
              <w:start w:w="90" w:type="dxa"/>
              <w:bottom w:w="80" w:type="dxa"/>
              <w:end w:w="90" w:type="dxa"/>
            </w:tcMar>
            <w:vAlign w:val="top"/>
          </w:tcPr>
          <w:p>
            <w:r>
              <w:rPr>
                <w:sz w:val="16"/>
              </w:rPr>
              <w:t>Ja</w:t>
            </w:r>
          </w:p>
        </w:tc>
      </w:tr>
      <w:tr>
        <w:trPr>
          <w:cantSplit/>
        </w:trPr>
        <w:tc>
          <w:tcPr>
            <w:tcW w:type="dxa" w:w="2051"/>
            <w:tcMar>
              <w:top w:w="80" w:type="dxa"/>
              <w:start w:w="90" w:type="dxa"/>
              <w:bottom w:w="80" w:type="dxa"/>
              <w:end w:w="90" w:type="dxa"/>
            </w:tcMar>
            <w:vAlign w:val="top"/>
          </w:tcPr>
          <w:p>
            <w:r>
              <w:rPr>
                <w:sz w:val="16"/>
              </w:rPr>
              <w:t>Features &amp; Labels, Inc. (fal.ai)</w:t>
            </w:r>
          </w:p>
        </w:tc>
        <w:tc>
          <w:tcPr>
            <w:tcW w:type="dxa" w:w="2051"/>
            <w:tcMar>
              <w:top w:w="80" w:type="dxa"/>
              <w:start w:w="90" w:type="dxa"/>
              <w:bottom w:w="80" w:type="dxa"/>
              <w:end w:w="90" w:type="dxa"/>
            </w:tcMar>
            <w:vAlign w:val="top"/>
          </w:tcPr>
          <w:p>
            <w:r>
              <w:rPr>
                <w:sz w:val="16"/>
              </w:rPr>
              <w:t>Videoerzeugung, Medien-/Mastering-Schritte</w:t>
            </w:r>
          </w:p>
        </w:tc>
        <w:tc>
          <w:tcPr>
            <w:tcW w:type="dxa" w:w="2051"/>
            <w:tcMar>
              <w:top w:w="80" w:type="dxa"/>
              <w:start w:w="90" w:type="dxa"/>
              <w:bottom w:w="80" w:type="dxa"/>
              <w:end w:w="90" w:type="dxa"/>
            </w:tcMar>
            <w:vAlign w:val="top"/>
          </w:tcPr>
          <w:p>
            <w:r>
              <w:rPr>
                <w:sz w:val="16"/>
              </w:rPr>
              <w:t>USA/international</w:t>
            </w:r>
          </w:p>
        </w:tc>
        <w:tc>
          <w:tcPr>
            <w:tcW w:type="dxa" w:w="2051"/>
            <w:tcMar>
              <w:top w:w="80" w:type="dxa"/>
              <w:start w:w="90" w:type="dxa"/>
              <w:bottom w:w="80" w:type="dxa"/>
              <w:end w:w="90" w:type="dxa"/>
            </w:tcMar>
            <w:vAlign w:val="top"/>
          </w:tcPr>
          <w:p>
            <w:r>
              <w:rPr>
                <w:sz w:val="16"/>
              </w:rPr>
              <w:t>fal.ai DPA; SCCs für Restricted Transfers</w:t>
            </w:r>
          </w:p>
        </w:tc>
        <w:tc>
          <w:tcPr>
            <w:tcW w:type="dxa" w:w="2051"/>
            <w:tcMar>
              <w:top w:w="80" w:type="dxa"/>
              <w:start w:w="90" w:type="dxa"/>
              <w:bottom w:w="80" w:type="dxa"/>
              <w:end w:w="90" w:type="dxa"/>
            </w:tcMar>
            <w:vAlign w:val="top"/>
          </w:tcPr>
          <w:p>
            <w:r>
              <w:rPr>
                <w:sz w:val="16"/>
              </w:rPr>
              <w:t>Ja</w:t>
            </w:r>
          </w:p>
        </w:tc>
      </w:tr>
      <w:tr>
        <w:trPr>
          <w:cantSplit/>
        </w:trPr>
        <w:tc>
          <w:tcPr>
            <w:tcW w:type="dxa" w:w="2051"/>
            <w:tcMar>
              <w:top w:w="80" w:type="dxa"/>
              <w:start w:w="90" w:type="dxa"/>
              <w:bottom w:w="80" w:type="dxa"/>
              <w:end w:w="90" w:type="dxa"/>
            </w:tcMar>
            <w:vAlign w:val="top"/>
          </w:tcPr>
          <w:p>
            <w:r>
              <w:rPr>
                <w:sz w:val="16"/>
              </w:rPr>
              <w:t>CloudConvert</w:t>
            </w:r>
          </w:p>
        </w:tc>
        <w:tc>
          <w:tcPr>
            <w:tcW w:type="dxa" w:w="2051"/>
            <w:tcMar>
              <w:top w:w="80" w:type="dxa"/>
              <w:start w:w="90" w:type="dxa"/>
              <w:bottom w:w="80" w:type="dxa"/>
              <w:end w:w="90" w:type="dxa"/>
            </w:tcMar>
            <w:vAlign w:val="top"/>
          </w:tcPr>
          <w:p>
            <w:r>
              <w:rPr>
                <w:sz w:val="16"/>
              </w:rPr>
              <w:t>Audio-/Dateikonvertierung und ausgewählte Mastering-/M4B-Schritte</w:t>
            </w:r>
          </w:p>
        </w:tc>
        <w:tc>
          <w:tcPr>
            <w:tcW w:type="dxa" w:w="2051"/>
            <w:tcMar>
              <w:top w:w="80" w:type="dxa"/>
              <w:start w:w="90" w:type="dxa"/>
              <w:bottom w:w="80" w:type="dxa"/>
              <w:end w:w="90" w:type="dxa"/>
            </w:tcMar>
            <w:vAlign w:val="top"/>
          </w:tcPr>
          <w:p>
            <w:r>
              <w:rPr>
                <w:sz w:val="16"/>
              </w:rPr>
              <w:t>EU nach Anbieterangaben</w:t>
            </w:r>
          </w:p>
        </w:tc>
        <w:tc>
          <w:tcPr>
            <w:tcW w:type="dxa" w:w="2051"/>
            <w:tcMar>
              <w:top w:w="80" w:type="dxa"/>
              <w:start w:w="90" w:type="dxa"/>
              <w:bottom w:w="80" w:type="dxa"/>
              <w:end w:w="90" w:type="dxa"/>
            </w:tcMar>
            <w:vAlign w:val="top"/>
          </w:tcPr>
          <w:p>
            <w:r>
              <w:rPr>
                <w:sz w:val="16"/>
              </w:rPr>
              <w:t>DPA / vertragliche Datenschutzregelung zu archivieren</w:t>
            </w:r>
          </w:p>
        </w:tc>
        <w:tc>
          <w:tcPr>
            <w:tcW w:type="dxa" w:w="2051"/>
            <w:tcMar>
              <w:top w:w="80" w:type="dxa"/>
              <w:start w:w="90" w:type="dxa"/>
              <w:bottom w:w="80" w:type="dxa"/>
              <w:end w:w="90" w:type="dxa"/>
            </w:tcMar>
            <w:vAlign w:val="top"/>
          </w:tcPr>
          <w:p>
            <w:r>
              <w:rPr>
                <w:sz w:val="16"/>
              </w:rPr>
              <w:t>Nur soweit DPA-Vertragskette aktiv</w:t>
            </w:r>
          </w:p>
        </w:tc>
      </w:tr>
      <w:tr>
        <w:trPr>
          <w:cantSplit/>
        </w:trPr>
        <w:tc>
          <w:tcPr>
            <w:tcW w:type="dxa" w:w="2051"/>
            <w:tcMar>
              <w:top w:w="80" w:type="dxa"/>
              <w:start w:w="90" w:type="dxa"/>
              <w:bottom w:w="80" w:type="dxa"/>
              <w:end w:w="90" w:type="dxa"/>
            </w:tcMar>
            <w:vAlign w:val="top"/>
          </w:tcPr>
          <w:p>
            <w:r>
              <w:rPr>
                <w:sz w:val="16"/>
              </w:rPr>
              <w:t>xAI / SpaceXAI</w:t>
            </w:r>
          </w:p>
        </w:tc>
        <w:tc>
          <w:tcPr>
            <w:tcW w:type="dxa" w:w="2051"/>
            <w:tcMar>
              <w:top w:w="80" w:type="dxa"/>
              <w:start w:w="90" w:type="dxa"/>
              <w:bottom w:w="80" w:type="dxa"/>
              <w:end w:w="90" w:type="dxa"/>
            </w:tcMar>
            <w:vAlign w:val="top"/>
          </w:tcPr>
          <w:p>
            <w:r>
              <w:rPr>
                <w:sz w:val="16"/>
              </w:rPr>
              <w:t>Text-to-Speech, soweit vom Kunden gewählt</w:t>
            </w:r>
          </w:p>
        </w:tc>
        <w:tc>
          <w:tcPr>
            <w:tcW w:type="dxa" w:w="2051"/>
            <w:tcMar>
              <w:top w:w="80" w:type="dxa"/>
              <w:start w:w="90" w:type="dxa"/>
              <w:bottom w:w="80" w:type="dxa"/>
              <w:end w:w="90" w:type="dxa"/>
            </w:tcMar>
            <w:vAlign w:val="top"/>
          </w:tcPr>
          <w:p>
            <w:r>
              <w:rPr>
                <w:sz w:val="16"/>
              </w:rPr>
              <w:t>USA/international</w:t>
            </w:r>
          </w:p>
        </w:tc>
        <w:tc>
          <w:tcPr>
            <w:tcW w:type="dxa" w:w="2051"/>
            <w:tcMar>
              <w:top w:w="80" w:type="dxa"/>
              <w:start w:w="90" w:type="dxa"/>
              <w:bottom w:w="80" w:type="dxa"/>
              <w:end w:w="90" w:type="dxa"/>
            </w:tcMar>
            <w:vAlign w:val="top"/>
          </w:tcPr>
          <w:p>
            <w:r>
              <w:rPr>
                <w:sz w:val="16"/>
              </w:rPr>
              <w:t>Nur für personenbezogene Auftragsdaten freigegeben, wenn die verwendete API/Organisation nach dokumentierter DPA-/ZDR-Konfiguration dafür qualifiziert ist</w:t>
            </w:r>
          </w:p>
        </w:tc>
        <w:tc>
          <w:tcPr>
            <w:tcW w:type="dxa" w:w="2051"/>
            <w:tcMar>
              <w:top w:w="80" w:type="dxa"/>
              <w:start w:w="90" w:type="dxa"/>
              <w:bottom w:w="80" w:type="dxa"/>
              <w:end w:w="90" w:type="dxa"/>
            </w:tcMar>
            <w:vAlign w:val="top"/>
          </w:tcPr>
          <w:p>
            <w:r>
              <w:rPr>
                <w:sz w:val="16"/>
              </w:rPr>
              <w:t>Bedingt</w:t>
            </w:r>
          </w:p>
        </w:tc>
      </w:tr>
    </w:tbl>
    <w:tbl>
      <w:tblPr>
        <w:tblW w:type="auto" w:w="0"/>
        <w:tblLook w:firstColumn="1" w:firstRow="1" w:lastColumn="0" w:lastRow="0" w:noHBand="0" w:noVBand="1" w:val="04A0"/>
      </w:tblPr>
      <w:tblGrid>
        <w:gridCol w:w="10256"/>
      </w:tblGrid>
      <w:tr>
        <w:trPr>
          <w:cantSplit/>
        </w:trPr>
        <w:tc>
          <w:tcPr>
            <w:tcW w:type="dxa" w:w="10256"/>
            <w:shd w:fill="FCE4D6"/>
            <w:tcMar>
              <w:top w:w="130" w:type="dxa"/>
              <w:start w:w="150" w:type="dxa"/>
              <w:bottom w:w="130" w:type="dxa"/>
              <w:end w:w="150" w:type="dxa"/>
            </w:tcMar>
          </w:tcPr>
          <w:p>
            <w:r>
              <w:rPr>
                <w:b/>
                <w:color w:val="503C00"/>
                <w:sz w:val="20"/>
              </w:rPr>
              <w:t>Nicht für personenbezogene Auftragsdaten freigegeben</w:t>
              <w:br/>
            </w:r>
            <w:r>
              <w:rPr>
                <w:sz w:val="18"/>
              </w:rPr>
              <w:t>Stability AI / Stable Audio wird bis zur dokumentierten Klärung eines passenden Art.-28-Processor-Setups nicht als Unterauftragsverarbeiter für personenbezogene Kundeninhalte geführt. Musik-Prompts sollen daher keine personenbezogenen Daten enthalten.</w:t>
            </w:r>
          </w:p>
        </w:tc>
      </w:tr>
    </w:tbl>
    <w:p>
      <w:pPr>
        <w:spacing w:after="20"/>
      </w:pPr>
    </w:p>
    <w:p>
      <w:pPr>
        <w:pStyle w:val="Heading1"/>
      </w:pPr>
      <w:r>
        <w:t>Anlage 4 · Funktionsbezogene Speicher-/Löschregeln</w:t>
      </w:r>
    </w:p>
    <w:tbl>
      <w:tblPr>
        <w:tblW w:type="auto" w:w="0"/>
        <w:jc w:val="center"/>
        <w:tblLayout w:type="fixed"/>
        <w:tblLook w:firstColumn="1" w:firstRow="1" w:lastColumn="0" w:lastRow="0" w:noHBand="0" w:noVBand="1" w:val="04A0"/>
      </w:tblPr>
      <w:tblGrid>
        <w:gridCol w:w="5128"/>
        <w:gridCol w:w="5128"/>
      </w:tblGrid>
      <w:tr>
        <w:trPr>
          <w:tblHeader w:val="true"/>
          <w:cantSplit/>
        </w:trPr>
        <w:tc>
          <w:tcPr>
            <w:tcW w:type="dxa" w:w="5128"/>
            <w:shd w:fill="17365D"/>
            <w:tcMar>
              <w:top w:w="80" w:type="dxa"/>
              <w:start w:w="90" w:type="dxa"/>
              <w:bottom w:w="80" w:type="dxa"/>
              <w:end w:w="90" w:type="dxa"/>
            </w:tcMar>
          </w:tcPr>
          <w:p>
            <w:r>
              <w:rPr>
                <w:b/>
                <w:color w:val="FFFFFF"/>
                <w:sz w:val="17"/>
              </w:rPr>
              <w:t>Bereich</w:t>
            </w:r>
          </w:p>
        </w:tc>
        <w:tc>
          <w:tcPr>
            <w:tcW w:type="dxa" w:w="5128"/>
            <w:shd w:fill="17365D"/>
            <w:tcMar>
              <w:top w:w="80" w:type="dxa"/>
              <w:start w:w="90" w:type="dxa"/>
              <w:bottom w:w="80" w:type="dxa"/>
              <w:end w:w="90" w:type="dxa"/>
            </w:tcMar>
          </w:tcPr>
          <w:p>
            <w:r>
              <w:rPr>
                <w:b/>
                <w:color w:val="FFFFFF"/>
                <w:sz w:val="17"/>
              </w:rPr>
              <w:t>Regel</w:t>
            </w:r>
          </w:p>
        </w:tc>
      </w:tr>
      <w:tr>
        <w:trPr>
          <w:cantSplit/>
        </w:trPr>
        <w:tc>
          <w:tcPr>
            <w:tcW w:type="dxa" w:w="5128"/>
            <w:tcMar>
              <w:top w:w="80" w:type="dxa"/>
              <w:start w:w="90" w:type="dxa"/>
              <w:bottom w:w="80" w:type="dxa"/>
              <w:end w:w="90" w:type="dxa"/>
            </w:tcMar>
            <w:vAlign w:val="top"/>
          </w:tcPr>
          <w:p>
            <w:r>
              <w:rPr>
                <w:sz w:val="16"/>
              </w:rPr>
              <w:t>Browserlokale Format-/Exportfunktionen</w:t>
            </w:r>
          </w:p>
        </w:tc>
        <w:tc>
          <w:tcPr>
            <w:tcW w:type="dxa" w:w="5128"/>
            <w:tcMar>
              <w:top w:w="80" w:type="dxa"/>
              <w:start w:w="90" w:type="dxa"/>
              <w:bottom w:w="80" w:type="dxa"/>
              <w:end w:w="90" w:type="dxa"/>
            </w:tcMar>
            <w:vAlign w:val="top"/>
          </w:tcPr>
          <w:p>
            <w:r>
              <w:rPr>
                <w:sz w:val="16"/>
              </w:rPr>
              <w:t>Originaldateien bleiben soweit beschrieben im Browser; serverseitig nur erforderliche Metadaten/Strukturinformationen.</w:t>
            </w:r>
          </w:p>
        </w:tc>
      </w:tr>
      <w:tr>
        <w:trPr>
          <w:cantSplit/>
        </w:trPr>
        <w:tc>
          <w:tcPr>
            <w:tcW w:type="dxa" w:w="5128"/>
            <w:tcMar>
              <w:top w:w="80" w:type="dxa"/>
              <w:start w:w="90" w:type="dxa"/>
              <w:bottom w:w="80" w:type="dxa"/>
              <w:end w:w="90" w:type="dxa"/>
            </w:tcMar>
            <w:vAlign w:val="top"/>
          </w:tcPr>
          <w:p>
            <w:r>
              <w:rPr>
                <w:sz w:val="16"/>
              </w:rPr>
              <w:t>Standard-KI-Analysen</w:t>
            </w:r>
          </w:p>
        </w:tc>
        <w:tc>
          <w:tcPr>
            <w:tcW w:type="dxa" w:w="5128"/>
            <w:tcMar>
              <w:top w:w="80" w:type="dxa"/>
              <w:start w:w="90" w:type="dxa"/>
              <w:bottom w:w="80" w:type="dxa"/>
              <w:end w:w="90" w:type="dxa"/>
            </w:tcMar>
            <w:vAlign w:val="top"/>
          </w:tcPr>
          <w:p>
            <w:r>
              <w:rPr>
                <w:sz w:val="16"/>
              </w:rPr>
              <w:t>Originalmanuskript wird grundsätzlich nicht als dauerhafte Workspace-Datei gespeichert; gespeicherte Ergebnisse/Book DNA bleiben bis Projekt-/Kontolöschung.</w:t>
            </w:r>
          </w:p>
        </w:tc>
      </w:tr>
      <w:tr>
        <w:trPr>
          <w:cantSplit/>
        </w:trPr>
        <w:tc>
          <w:tcPr>
            <w:tcW w:type="dxa" w:w="5128"/>
            <w:tcMar>
              <w:top w:w="80" w:type="dxa"/>
              <w:start w:w="90" w:type="dxa"/>
              <w:bottom w:w="80" w:type="dxa"/>
              <w:end w:w="90" w:type="dxa"/>
            </w:tcMar>
            <w:vAlign w:val="top"/>
          </w:tcPr>
          <w:p>
            <w:r>
              <w:rPr>
                <w:sz w:val="16"/>
              </w:rPr>
              <w:t>Reader Quiz</w:t>
            </w:r>
          </w:p>
        </w:tc>
        <w:tc>
          <w:tcPr>
            <w:tcW w:type="dxa" w:w="5128"/>
            <w:tcMar>
              <w:top w:w="80" w:type="dxa"/>
              <w:start w:w="90" w:type="dxa"/>
              <w:bottom w:w="80" w:type="dxa"/>
              <w:end w:w="90" w:type="dxa"/>
            </w:tcMar>
            <w:vAlign w:val="top"/>
          </w:tcPr>
          <w:p>
            <w:r>
              <w:rPr>
                <w:sz w:val="16"/>
              </w:rPr>
              <w:t>Manuskriptquelle wird nicht im Quizdatensatz gespeichert; gespeichert werden Quizinhalt, Metadaten und Source-Hash. Öffentliche Spiele verursachen keine erneute KI-Verarbeitung.</w:t>
            </w:r>
          </w:p>
        </w:tc>
      </w:tr>
      <w:tr>
        <w:trPr>
          <w:cantSplit/>
        </w:trPr>
        <w:tc>
          <w:tcPr>
            <w:tcW w:type="dxa" w:w="5128"/>
            <w:tcMar>
              <w:top w:w="80" w:type="dxa"/>
              <w:start w:w="90" w:type="dxa"/>
              <w:bottom w:w="80" w:type="dxa"/>
              <w:end w:w="90" w:type="dxa"/>
            </w:tcMar>
            <w:vAlign w:val="top"/>
          </w:tcPr>
          <w:p>
            <w:r>
              <w:rPr>
                <w:sz w:val="16"/>
              </w:rPr>
              <w:t>Trailer Audio</w:t>
            </w:r>
          </w:p>
        </w:tc>
        <w:tc>
          <w:tcPr>
            <w:tcW w:type="dxa" w:w="5128"/>
            <w:tcMar>
              <w:top w:w="80" w:type="dxa"/>
              <w:start w:w="90" w:type="dxa"/>
              <w:bottom w:w="80" w:type="dxa"/>
              <w:end w:w="90" w:type="dxa"/>
            </w:tcMar>
            <w:vAlign w:val="top"/>
          </w:tcPr>
          <w:p>
            <w:r>
              <w:rPr>
                <w:sz w:val="16"/>
              </w:rPr>
              <w:t>Temporäre private Sicherung standardmäßig bis zu 7 Tage; technische Nachweis-/Billingmetadaten nach Erforderlichkeit.</w:t>
            </w:r>
          </w:p>
        </w:tc>
      </w:tr>
      <w:tr>
        <w:trPr>
          <w:cantSplit/>
        </w:trPr>
        <w:tc>
          <w:tcPr>
            <w:tcW w:type="dxa" w:w="5128"/>
            <w:tcMar>
              <w:top w:w="80" w:type="dxa"/>
              <w:start w:w="90" w:type="dxa"/>
              <w:bottom w:w="80" w:type="dxa"/>
              <w:end w:w="90" w:type="dxa"/>
            </w:tcMar>
            <w:vAlign w:val="top"/>
          </w:tcPr>
          <w:p>
            <w:r>
              <w:rPr>
                <w:sz w:val="16"/>
              </w:rPr>
              <w:t>Book-to-Audiobook</w:t>
            </w:r>
          </w:p>
        </w:tc>
        <w:tc>
          <w:tcPr>
            <w:tcW w:type="dxa" w:w="5128"/>
            <w:tcMar>
              <w:top w:w="80" w:type="dxa"/>
              <w:start w:w="90" w:type="dxa"/>
              <w:bottom w:w="80" w:type="dxa"/>
              <w:end w:w="90" w:type="dxa"/>
            </w:tcMar>
            <w:vAlign w:val="top"/>
          </w:tcPr>
          <w:p>
            <w:r>
              <w:rPr>
                <w:sz w:val="16"/>
              </w:rPr>
              <w:t>Normalisierter Kapiteltext, Blueprint, Cast/Pronunciation und private Audiomaster bleiben projektbezogen gespeichert, bis das Hörbuchprojekt gelöscht wird bzw. zwingende Aufbewahrung greift.</w:t>
            </w:r>
          </w:p>
        </w:tc>
      </w:tr>
      <w:tr>
        <w:trPr>
          <w:cantSplit/>
        </w:trPr>
        <w:tc>
          <w:tcPr>
            <w:tcW w:type="dxa" w:w="5128"/>
            <w:tcMar>
              <w:top w:w="80" w:type="dxa"/>
              <w:start w:w="90" w:type="dxa"/>
              <w:bottom w:w="80" w:type="dxa"/>
              <w:end w:w="90" w:type="dxa"/>
            </w:tcMar>
            <w:vAlign w:val="top"/>
          </w:tcPr>
          <w:p>
            <w:r>
              <w:rPr>
                <w:sz w:val="16"/>
              </w:rPr>
              <w:t>BookCast</w:t>
            </w:r>
          </w:p>
        </w:tc>
        <w:tc>
          <w:tcPr>
            <w:tcW w:type="dxa" w:w="5128"/>
            <w:tcMar>
              <w:top w:w="80" w:type="dxa"/>
              <w:start w:w="90" w:type="dxa"/>
              <w:bottom w:w="80" w:type="dxa"/>
              <w:end w:w="90" w:type="dxa"/>
            </w:tcMar>
            <w:vAlign w:val="top"/>
          </w:tcPr>
          <w:p>
            <w:r>
              <w:rPr>
                <w:sz w:val="16"/>
              </w:rPr>
              <w:t>Projekt-/Skript-/Masterdaten bis Projekt-/Kontolöschung; temporäre Segmente werden nach erfolgreichem Mastering entfernt, soweit der Workflow dies vorsieht.</w:t>
            </w:r>
          </w:p>
        </w:tc>
      </w:tr>
      <w:tr>
        <w:trPr>
          <w:cantSplit/>
        </w:trPr>
        <w:tc>
          <w:tcPr>
            <w:tcW w:type="dxa" w:w="5128"/>
            <w:tcMar>
              <w:top w:w="80" w:type="dxa"/>
              <w:start w:w="90" w:type="dxa"/>
              <w:bottom w:w="80" w:type="dxa"/>
              <w:end w:w="90" w:type="dxa"/>
            </w:tcMar>
            <w:vAlign w:val="top"/>
          </w:tcPr>
          <w:p>
            <w:r>
              <w:rPr>
                <w:sz w:val="16"/>
              </w:rPr>
              <w:t>Provider-/Backupkopien</w:t>
            </w:r>
          </w:p>
        </w:tc>
        <w:tc>
          <w:tcPr>
            <w:tcW w:type="dxa" w:w="5128"/>
            <w:tcMar>
              <w:top w:w="80" w:type="dxa"/>
              <w:start w:w="90" w:type="dxa"/>
              <w:bottom w:w="80" w:type="dxa"/>
              <w:end w:w="90" w:type="dxa"/>
            </w:tcMar>
            <w:vAlign w:val="top"/>
          </w:tcPr>
          <w:p>
            <w:r>
              <w:rPr>
                <w:sz w:val="16"/>
              </w:rPr>
              <w:t>Nach jeweiligen DPA-/Provider-Retention- und Backup-Auslaufregeln; keine aktive Zweckänderung durch HSP.</w:t>
            </w:r>
          </w:p>
        </w:tc>
      </w:tr>
    </w:tbl>
    <w:p>
      <w:pPr>
        <w:pStyle w:val="Heading1"/>
      </w:pPr>
      <w:r>
        <w:t>Rechtliche Referenzen</w:t>
      </w:r>
    </w:p>
    <w:p>
      <w:hyperlink r:id="rId10">
        <w:r>
          <w:rPr>
            <w:color w:val="1F4E79"/>
            <w:u w:val="single"/>
          </w:rPr>
          <w:t>Österreichische Datenschutzbehörde – Pflichten als Auftragsverarbeiter:in</w:t>
        </w:r>
      </w:hyperlink>
    </w:p>
    <w:p>
      <w:hyperlink r:id="rId11">
        <w:r>
          <w:rPr>
            <w:color w:val="1F4E79"/>
            <w:u w:val="single"/>
          </w:rPr>
          <w:t>Österreichische Datenschutzbehörde – Datenübermittlung &amp; Standardvertragsklauseln</w:t>
        </w:r>
      </w:hyperlink>
    </w:p>
    <w:p>
      <w:hyperlink r:id="rId12">
        <w:r>
          <w:rPr>
            <w:color w:val="1F4E79"/>
            <w:u w:val="single"/>
          </w:rPr>
          <w:t>Europäische Kommission – Standardvertragsklauseln Verantwortliche/Auftragsverarbeiter</w:t>
        </w:r>
      </w:hyperlink>
    </w:p>
    <w:sectPr w:rsidR="00FC693F" w:rsidRPr="0006063C" w:rsidSect="00034616">
      <w:footerReference w:type="default" r:id="rId9"/>
      <w:pgSz w:w="12240" w:h="15840"/>
      <w:pgMar w:top="879" w:right="992" w:bottom="822" w:left="9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6464"/>
        <w:sz w:val="16"/>
      </w:rPr>
      <w:t>HSP Author Studio · AVV nach Art. 28 DSGVO · Version 1.0 · 02.10.2026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ptos" w:hAnsi="Aptos"/>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17365D"/>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1F4E79"/>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Display" w:hAnsi="Aptos Display"/>
      <w:b/>
      <w:bCs/>
      <w:color w:val="365F91"/>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7365D"/>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dsb.gv.at/rechte-pflichten/ihre-pflichten-als-auftragsverarbeiterin" TargetMode="External"/><Relationship Id="rId11" Type="http://schemas.openxmlformats.org/officeDocument/2006/relationships/hyperlink" Target="https://dsb.gv.at/faqs/verpflichtungen-fuer-unternehmen" TargetMode="External"/><Relationship Id="rId12" Type="http://schemas.openxmlformats.org/officeDocument/2006/relationships/hyperlink" Target="https://commission.europa.eu/publications/standard-contractual-clauses-controllers-and-processors-eueea_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